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12" w:rsidRDefault="00AB7912">
      <w:pPr>
        <w:spacing w:before="120" w:after="120" w:line="360" w:lineRule="auto"/>
        <w:jc w:val="center"/>
        <w:rPr>
          <w:rFonts w:ascii="Times New Roman" w:hAnsi="Times New Roman"/>
          <w:b/>
          <w:sz w:val="24"/>
          <w:szCs w:val="24"/>
        </w:rPr>
      </w:pPr>
      <w:r>
        <w:rPr>
          <w:rFonts w:ascii="Times New Roman" w:hAnsi="Times New Roman"/>
          <w:b/>
          <w:sz w:val="24"/>
          <w:szCs w:val="24"/>
        </w:rPr>
        <w:t>All.2</w:t>
      </w:r>
    </w:p>
    <w:p w:rsidR="00D173D4" w:rsidRDefault="00D173D4">
      <w:pPr>
        <w:spacing w:before="120" w:after="120" w:line="360" w:lineRule="auto"/>
        <w:jc w:val="center"/>
        <w:rPr>
          <w:rFonts w:ascii="Times New Roman" w:hAnsi="Times New Roman"/>
          <w:b/>
          <w:sz w:val="24"/>
          <w:szCs w:val="24"/>
        </w:rPr>
      </w:pPr>
      <w:r>
        <w:rPr>
          <w:rFonts w:ascii="Times New Roman" w:hAnsi="Times New Roman"/>
          <w:b/>
          <w:sz w:val="24"/>
          <w:szCs w:val="24"/>
        </w:rPr>
        <w:t xml:space="preserve">SCHEMA CAPITOLATO TECNICO PER L’AFFIDAMENTO DEL SERVIZIO </w:t>
      </w:r>
      <w:proofErr w:type="spellStart"/>
      <w:r>
        <w:rPr>
          <w:rFonts w:ascii="Times New Roman" w:hAnsi="Times New Roman"/>
          <w:b/>
          <w:sz w:val="24"/>
          <w:szCs w:val="24"/>
        </w:rPr>
        <w:t>DI</w:t>
      </w:r>
      <w:proofErr w:type="spellEnd"/>
      <w:r>
        <w:rPr>
          <w:rFonts w:ascii="Times New Roman" w:hAnsi="Times New Roman"/>
          <w:b/>
          <w:sz w:val="24"/>
          <w:szCs w:val="24"/>
        </w:rPr>
        <w:t xml:space="preserve"> CASSA A FAVORE DELL’ISTITUTO</w:t>
      </w:r>
      <w:r w:rsidR="005A6478">
        <w:rPr>
          <w:rFonts w:ascii="Times New Roman" w:hAnsi="Times New Roman"/>
          <w:b/>
          <w:sz w:val="24"/>
          <w:szCs w:val="24"/>
        </w:rPr>
        <w:t xml:space="preserve"> </w:t>
      </w:r>
      <w:r>
        <w:rPr>
          <w:rFonts w:ascii="Times New Roman" w:hAnsi="Times New Roman"/>
          <w:b/>
          <w:sz w:val="24"/>
          <w:szCs w:val="24"/>
        </w:rPr>
        <w:t xml:space="preserve">COMPRENSIVO </w:t>
      </w:r>
      <w:r w:rsidR="00CE69BA">
        <w:rPr>
          <w:rFonts w:ascii="Times New Roman" w:hAnsi="Times New Roman"/>
          <w:b/>
          <w:sz w:val="24"/>
          <w:szCs w:val="24"/>
        </w:rPr>
        <w:t xml:space="preserve">“ G. Falcone – P. Borsellino” </w:t>
      </w:r>
      <w:r w:rsidR="00BE63C6">
        <w:rPr>
          <w:rFonts w:ascii="Times New Roman" w:hAnsi="Times New Roman"/>
          <w:b/>
          <w:sz w:val="24"/>
          <w:szCs w:val="24"/>
        </w:rPr>
        <w:t>di Caulonia</w:t>
      </w:r>
    </w:p>
    <w:p w:rsidR="00D173D4" w:rsidRDefault="00D173D4">
      <w:pPr>
        <w:spacing w:before="120" w:after="120" w:line="360" w:lineRule="auto"/>
        <w:rPr>
          <w:rFonts w:ascii="Times New Roman" w:hAnsi="Times New Roman"/>
          <w:b/>
          <w:sz w:val="24"/>
          <w:szCs w:val="24"/>
        </w:rPr>
      </w:pPr>
    </w:p>
    <w:p w:rsidR="00D173D4" w:rsidRDefault="00D173D4">
      <w:pPr>
        <w:spacing w:before="120" w:after="120" w:line="360" w:lineRule="auto"/>
        <w:rPr>
          <w:rFonts w:ascii="Times New Roman" w:hAnsi="Times New Roman"/>
          <w:b/>
          <w:sz w:val="24"/>
          <w:szCs w:val="24"/>
        </w:rPr>
      </w:pPr>
      <w:r>
        <w:rPr>
          <w:rFonts w:ascii="Times New Roman" w:hAnsi="Times New Roman"/>
          <w:b/>
          <w:sz w:val="24"/>
          <w:szCs w:val="24"/>
        </w:rPr>
        <w:t>Definizioni</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Allegato Tecnico</w:t>
      </w:r>
      <w:r>
        <w:rPr>
          <w:rFonts w:ascii="Times New Roman" w:hAnsi="Times New Roman"/>
          <w:sz w:val="24"/>
          <w:szCs w:val="24"/>
        </w:rPr>
        <w:t xml:space="preserve">: Linee Guida di </w:t>
      </w:r>
      <w:proofErr w:type="spellStart"/>
      <w:r>
        <w:rPr>
          <w:rFonts w:ascii="Times New Roman" w:hAnsi="Times New Roman"/>
          <w:sz w:val="24"/>
          <w:szCs w:val="24"/>
        </w:rPr>
        <w:t>DigitPA</w:t>
      </w:r>
      <w:proofErr w:type="spellEnd"/>
      <w:r>
        <w:rPr>
          <w:rFonts w:ascii="Times New Roman" w:hAnsi="Times New Roman"/>
          <w:sz w:val="24"/>
          <w:szCs w:val="24"/>
        </w:rPr>
        <w:t xml:space="preserve"> del 21 luglio 2011 recanti l’“Aggiornamento dello standard OIL – Applicazione alle Istituzioni Scolastiche”.</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Convenzione</w:t>
      </w:r>
      <w:r>
        <w:rPr>
          <w:rFonts w:ascii="Times New Roman" w:hAnsi="Times New Roman"/>
          <w:sz w:val="24"/>
          <w:szCs w:val="24"/>
        </w:rPr>
        <w:t>: il documento che viene stipulato con l’Aggiudicatario della presente procedura, il quale espone gli obblighi e i diritti che intercorrono reciprocamente tra l’Istituto e il Gestore.</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D.I. 44/2001</w:t>
      </w:r>
      <w:r>
        <w:rPr>
          <w:rFonts w:ascii="Times New Roman" w:hAnsi="Times New Roman"/>
          <w:sz w:val="24"/>
          <w:szCs w:val="24"/>
        </w:rPr>
        <w:t>: Decreto Interministeriale n. 44 del 2001, Regolamento concernente le “Istruzioni generali sulla gestione amministrativo-contabile delle Istituzioni Scolastiche”.</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D.L. 95/2012</w:t>
      </w:r>
      <w:r>
        <w:rPr>
          <w:rFonts w:ascii="Times New Roman" w:hAnsi="Times New Roman"/>
          <w:sz w:val="24"/>
          <w:szCs w:val="24"/>
        </w:rPr>
        <w:t>: Decreto Legge n. 95 del 6 luglio 2012 convertito nella legge 135/2012, Disposizioni urgenti per la revisione della spesa pubblica con invarianza dei servizi ai cittadini.</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D.M. 22 novembre 1985</w:t>
      </w:r>
      <w:r>
        <w:rPr>
          <w:rFonts w:ascii="Times New Roman" w:hAnsi="Times New Roman"/>
          <w:sz w:val="24"/>
          <w:szCs w:val="24"/>
        </w:rPr>
        <w:t>: Decreto Ministeriale del 22 novembre 1985, Entrata in vigore del sistema di tesoreria unica, Ministero del Tesoro.</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D.M. 4 agosto 2009</w:t>
      </w:r>
      <w:r>
        <w:rPr>
          <w:rFonts w:ascii="Times New Roman" w:hAnsi="Times New Roman"/>
          <w:sz w:val="24"/>
          <w:szCs w:val="24"/>
        </w:rPr>
        <w:t>: Decreto Ministeriale del 4 agosto 2009, Nuove modalità di regolamento  telematico dei rapporti tra tesorieri e cassieri degli Enti ed organismi di cui alla tabella A allegata alla legge 29 ottobre 1984, n. 720, e la Tesoreria dello Stato, Ministero dell’Economia e delle Finanze.</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Decreto MEF 27 aprile 2012</w:t>
      </w:r>
      <w:r>
        <w:rPr>
          <w:rFonts w:ascii="Times New Roman" w:hAnsi="Times New Roman"/>
          <w:sz w:val="24"/>
          <w:szCs w:val="24"/>
        </w:rPr>
        <w:t>: Decreto del Ministero dell’Economia e delle Finanze del 27 aprile 2012, in tema di Tesoreria Unica.</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Direttore dei Servizi Generali ed Amministrativi (DSGA)</w:t>
      </w:r>
      <w:r>
        <w:rPr>
          <w:rFonts w:ascii="Times New Roman" w:hAnsi="Times New Roman"/>
          <w:sz w:val="24"/>
          <w:szCs w:val="24"/>
        </w:rPr>
        <w:t>: figura che sovrintende ai servizi amministrativo-contabili e ne cura l’organizzazione; ha autonomia operativa e responsabilità diretta nella definizione ed esecuzione degli atti amministrativo-contabili, di ragioneria e di economato, anche con rilevanza esterna.</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Dirigente Scolastico (DS)</w:t>
      </w:r>
      <w:r>
        <w:rPr>
          <w:rFonts w:ascii="Times New Roman" w:hAnsi="Times New Roman"/>
          <w:sz w:val="24"/>
          <w:szCs w:val="24"/>
        </w:rPr>
        <w:t>: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lastRenderedPageBreak/>
        <w:t>Firma digitale</w:t>
      </w:r>
      <w:r>
        <w:rPr>
          <w:rFonts w:ascii="Times New Roman" w:hAnsi="Times New Roman"/>
          <w:sz w:val="24"/>
          <w:szCs w:val="24"/>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rPr>
          <w:rFonts w:ascii="Times New Roman" w:hAnsi="Times New Roman"/>
          <w:sz w:val="24"/>
          <w:szCs w:val="24"/>
        </w:rPr>
        <w:t>D.Lgs.</w:t>
      </w:r>
      <w:proofErr w:type="spellEnd"/>
      <w:r>
        <w:rPr>
          <w:rFonts w:ascii="Times New Roman" w:hAnsi="Times New Roman"/>
          <w:sz w:val="24"/>
          <w:szCs w:val="24"/>
        </w:rPr>
        <w:t xml:space="preserve"> n. 82 del 7 marzo 2005 e relative norme di attuazione ed esecuzione.</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Gestore</w:t>
      </w:r>
      <w:r>
        <w:rPr>
          <w:rFonts w:ascii="Times New Roman" w:hAnsi="Times New Roman"/>
          <w:sz w:val="24"/>
          <w:szCs w:val="24"/>
        </w:rPr>
        <w:t xml:space="preserve">: il soggetto - Banca o Poste Italiane </w:t>
      </w:r>
      <w:proofErr w:type="spellStart"/>
      <w:r>
        <w:rPr>
          <w:rFonts w:ascii="Times New Roman" w:hAnsi="Times New Roman"/>
          <w:sz w:val="24"/>
          <w:szCs w:val="24"/>
        </w:rPr>
        <w:t>S.p.A</w:t>
      </w:r>
      <w:proofErr w:type="spellEnd"/>
      <w:r>
        <w:rPr>
          <w:rFonts w:ascii="Times New Roman" w:hAnsi="Times New Roman"/>
          <w:sz w:val="24"/>
          <w:szCs w:val="24"/>
        </w:rPr>
        <w:t xml:space="preserve"> – cui, in caso di aggiudicazione e successiva sottoscrizione della Convenzione, sarà affidato il servizio.</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Accordi/protocolli</w:t>
      </w:r>
      <w:r>
        <w:rPr>
          <w:rFonts w:ascii="Times New Roman" w:hAnsi="Times New Roman"/>
          <w:sz w:val="24"/>
          <w:szCs w:val="24"/>
        </w:rPr>
        <w:t>: quanto concordato nei rispettivi tavoli tecnici con ABI e con Poste Italiane S.p.A.</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Istituto</w:t>
      </w:r>
      <w:r>
        <w:rPr>
          <w:rFonts w:ascii="Times New Roman" w:hAnsi="Times New Roman"/>
          <w:sz w:val="24"/>
          <w:szCs w:val="24"/>
        </w:rPr>
        <w:t>: Istituzione Scolastica [</w:t>
      </w:r>
      <w:r w:rsidR="0007024C">
        <w:rPr>
          <w:rFonts w:ascii="Times New Roman" w:hAnsi="Times New Roman"/>
          <w:sz w:val="24"/>
          <w:szCs w:val="24"/>
        </w:rPr>
        <w:t>Istituto Comprensivo Statale  “</w:t>
      </w:r>
      <w:proofErr w:type="spellStart"/>
      <w:r w:rsidR="0007024C">
        <w:rPr>
          <w:rFonts w:ascii="Times New Roman" w:hAnsi="Times New Roman"/>
          <w:sz w:val="24"/>
          <w:szCs w:val="24"/>
        </w:rPr>
        <w:t>G.Falcone-</w:t>
      </w:r>
      <w:proofErr w:type="spellEnd"/>
      <w:r w:rsidR="0007024C">
        <w:rPr>
          <w:rFonts w:ascii="Times New Roman" w:hAnsi="Times New Roman"/>
          <w:sz w:val="24"/>
          <w:szCs w:val="24"/>
        </w:rPr>
        <w:t xml:space="preserve"> P. Borsellino”</w:t>
      </w:r>
      <w:r>
        <w:rPr>
          <w:rFonts w:ascii="Times New Roman" w:hAnsi="Times New Roman"/>
          <w:sz w:val="24"/>
          <w:szCs w:val="24"/>
        </w:rPr>
        <w:t>.</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Legge 720/1984</w:t>
      </w:r>
      <w:r>
        <w:rPr>
          <w:rFonts w:ascii="Times New Roman" w:hAnsi="Times New Roman"/>
          <w:sz w:val="24"/>
          <w:szCs w:val="24"/>
        </w:rPr>
        <w:t>: legge del 29 ottobre 1984, n. 720, Istituzione del sistema di tesoreria unica per enti ed organismi pubblici.</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MIUR</w:t>
      </w:r>
      <w:r>
        <w:rPr>
          <w:rFonts w:ascii="Times New Roman" w:hAnsi="Times New Roman"/>
          <w:sz w:val="24"/>
          <w:szCs w:val="24"/>
        </w:rPr>
        <w:t>: Ministero dell’Istruzione dell’Università e della Ricerca.</w:t>
      </w:r>
    </w:p>
    <w:p w:rsidR="00D173D4" w:rsidRDefault="00D173D4">
      <w:pPr>
        <w:pStyle w:val="Paragrafoelenco1"/>
        <w:numPr>
          <w:ilvl w:val="0"/>
          <w:numId w:val="10"/>
        </w:numPr>
        <w:spacing w:before="120" w:after="120" w:line="360" w:lineRule="auto"/>
        <w:jc w:val="both"/>
        <w:rPr>
          <w:rFonts w:ascii="Times New Roman" w:hAnsi="Times New Roman"/>
          <w:i/>
          <w:sz w:val="24"/>
          <w:szCs w:val="24"/>
        </w:rPr>
      </w:pPr>
      <w:r>
        <w:rPr>
          <w:rFonts w:ascii="Times New Roman" w:hAnsi="Times New Roman"/>
          <w:b/>
          <w:i/>
          <w:sz w:val="24"/>
          <w:szCs w:val="24"/>
        </w:rPr>
        <w:t xml:space="preserve"> [Rete Scuole</w:t>
      </w:r>
      <w:r>
        <w:rPr>
          <w:rFonts w:ascii="Times New Roman" w:hAnsi="Times New Roman"/>
          <w:i/>
          <w:sz w:val="24"/>
          <w:szCs w:val="24"/>
        </w:rPr>
        <w:t>: Istituzioni Scolastiche che stipulano accordi di rete o aderiscono ad essi per il raggiungimento della proprie finalità istituzionali ivi comprese le attività di acquisto di beni e servizi (art. 7, 2° comma, del D.P.R. n. 275 dell’8 marzo 1999, «Regolamento recante norme in materia di autonomia delle istituzioni scolastiche, ai sensi dell'art. 21 della L. 15 marzo 1997, n. 59») ferma restando l’autonomia dei singoli bilanci.]</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Servizio di cassa</w:t>
      </w:r>
      <w:r>
        <w:rPr>
          <w:rFonts w:ascii="Times New Roman" w:hAnsi="Times New Roman"/>
          <w:sz w:val="24"/>
          <w:szCs w:val="24"/>
        </w:rPr>
        <w:t>: il servizio oggetto del presente capitolato è conforme a quanto previsto allo Schema di Convenzione nonché al D.I. 44/2001.</w:t>
      </w:r>
    </w:p>
    <w:p w:rsidR="00D173D4" w:rsidRDefault="00D173D4">
      <w:pPr>
        <w:pStyle w:val="Paragrafoelenco1"/>
        <w:spacing w:before="120" w:after="120" w:line="360" w:lineRule="auto"/>
        <w:jc w:val="both"/>
        <w:rPr>
          <w:rFonts w:ascii="Times New Roman" w:hAnsi="Times New Roman"/>
          <w:sz w:val="24"/>
          <w:szCs w:val="24"/>
        </w:rPr>
      </w:pPr>
    </w:p>
    <w:p w:rsidR="00D173D4" w:rsidRDefault="00D173D4">
      <w:pPr>
        <w:pStyle w:val="Paragrafoelenco1"/>
        <w:numPr>
          <w:ilvl w:val="0"/>
          <w:numId w:val="13"/>
        </w:numPr>
        <w:spacing w:before="120" w:after="120" w:line="360" w:lineRule="auto"/>
        <w:rPr>
          <w:rFonts w:ascii="Times New Roman" w:hAnsi="Times New Roman"/>
          <w:b/>
          <w:sz w:val="24"/>
          <w:szCs w:val="24"/>
        </w:rPr>
      </w:pPr>
      <w:r>
        <w:rPr>
          <w:rFonts w:ascii="Times New Roman" w:hAnsi="Times New Roman"/>
          <w:b/>
          <w:sz w:val="24"/>
          <w:szCs w:val="24"/>
        </w:rPr>
        <w:t>Premessa</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Il presente Capitolato ha ad oggetto i servizi di cui allo Schema di Convenzione, necessari per la gestione del servizio di cassa a favore dell’Istituto.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Di seguito si rappresentano gli elementi caratterizzanti l’Istituto </w:t>
      </w:r>
    </w:p>
    <w:p w:rsidR="00D173D4" w:rsidRDefault="00D173D4">
      <w:pPr>
        <w:pStyle w:val="Paragrafoelenco1"/>
        <w:numPr>
          <w:ilvl w:val="0"/>
          <w:numId w:val="7"/>
        </w:numPr>
        <w:spacing w:before="120" w:after="120" w:line="360" w:lineRule="auto"/>
        <w:jc w:val="both"/>
        <w:rPr>
          <w:rFonts w:ascii="Times New Roman" w:hAnsi="Times New Roman"/>
          <w:sz w:val="24"/>
          <w:szCs w:val="24"/>
        </w:rPr>
      </w:pPr>
      <w:r>
        <w:rPr>
          <w:rFonts w:ascii="Times New Roman" w:hAnsi="Times New Roman"/>
          <w:sz w:val="24"/>
          <w:szCs w:val="24"/>
        </w:rPr>
        <w:t>dotazione ordinaria ultimo anno (201</w:t>
      </w:r>
      <w:r w:rsidR="001C74D7">
        <w:rPr>
          <w:rFonts w:ascii="Times New Roman" w:hAnsi="Times New Roman"/>
          <w:sz w:val="24"/>
          <w:szCs w:val="24"/>
        </w:rPr>
        <w:t>4</w:t>
      </w:r>
      <w:r>
        <w:rPr>
          <w:rFonts w:ascii="Times New Roman" w:hAnsi="Times New Roman"/>
          <w:sz w:val="24"/>
          <w:szCs w:val="24"/>
        </w:rPr>
        <w:t>) e ultimo triennio: [</w:t>
      </w:r>
      <w:r w:rsidR="00DC0C4A">
        <w:rPr>
          <w:rFonts w:ascii="Times New Roman" w:hAnsi="Times New Roman"/>
          <w:sz w:val="24"/>
          <w:szCs w:val="24"/>
        </w:rPr>
        <w:t>147.775,83</w:t>
      </w:r>
      <w:r>
        <w:rPr>
          <w:rFonts w:ascii="Times New Roman" w:hAnsi="Times New Roman"/>
          <w:sz w:val="24"/>
          <w:szCs w:val="24"/>
        </w:rPr>
        <w:t>]  e [</w:t>
      </w:r>
      <w:r w:rsidR="00DC0C4A">
        <w:rPr>
          <w:rFonts w:ascii="Times New Roman" w:hAnsi="Times New Roman"/>
          <w:sz w:val="24"/>
          <w:szCs w:val="24"/>
        </w:rPr>
        <w:t>756.243,91</w:t>
      </w:r>
      <w:r>
        <w:rPr>
          <w:rFonts w:ascii="Times New Roman" w:hAnsi="Times New Roman"/>
          <w:sz w:val="24"/>
          <w:szCs w:val="24"/>
        </w:rPr>
        <w:t>]</w:t>
      </w:r>
    </w:p>
    <w:p w:rsidR="00D173D4" w:rsidRDefault="00D173D4">
      <w:pPr>
        <w:pStyle w:val="Paragrafoelenco1"/>
        <w:numPr>
          <w:ilvl w:val="0"/>
          <w:numId w:val="7"/>
        </w:numPr>
        <w:spacing w:before="120" w:after="120" w:line="360" w:lineRule="auto"/>
        <w:jc w:val="both"/>
        <w:rPr>
          <w:rFonts w:ascii="Times New Roman" w:hAnsi="Times New Roman"/>
          <w:sz w:val="24"/>
          <w:szCs w:val="24"/>
        </w:rPr>
      </w:pPr>
      <w:r>
        <w:rPr>
          <w:rFonts w:ascii="Times New Roman" w:hAnsi="Times New Roman"/>
          <w:sz w:val="24"/>
          <w:szCs w:val="24"/>
        </w:rPr>
        <w:t>n. mandati emessi ultimo anno (201</w:t>
      </w:r>
      <w:r w:rsidR="001C74D7">
        <w:rPr>
          <w:rFonts w:ascii="Times New Roman" w:hAnsi="Times New Roman"/>
          <w:sz w:val="24"/>
          <w:szCs w:val="24"/>
        </w:rPr>
        <w:t>4</w:t>
      </w:r>
      <w:r>
        <w:rPr>
          <w:rFonts w:ascii="Times New Roman" w:hAnsi="Times New Roman"/>
          <w:sz w:val="24"/>
          <w:szCs w:val="24"/>
        </w:rPr>
        <w:t>) e ultimo triennio: [</w:t>
      </w:r>
      <w:r w:rsidR="00DC0C4A">
        <w:rPr>
          <w:rFonts w:ascii="Times New Roman" w:hAnsi="Times New Roman"/>
          <w:sz w:val="24"/>
          <w:szCs w:val="24"/>
        </w:rPr>
        <w:t>216</w:t>
      </w:r>
      <w:r w:rsidR="001C74D7">
        <w:rPr>
          <w:rFonts w:ascii="Times New Roman" w:hAnsi="Times New Roman"/>
          <w:sz w:val="24"/>
          <w:szCs w:val="24"/>
        </w:rPr>
        <w:t>] e [</w:t>
      </w:r>
      <w:r w:rsidR="00DC0C4A">
        <w:rPr>
          <w:rFonts w:ascii="Times New Roman" w:hAnsi="Times New Roman"/>
          <w:sz w:val="24"/>
          <w:szCs w:val="24"/>
        </w:rPr>
        <w:t>1.153</w:t>
      </w:r>
      <w:r>
        <w:rPr>
          <w:rFonts w:ascii="Times New Roman" w:hAnsi="Times New Roman"/>
          <w:sz w:val="24"/>
          <w:szCs w:val="24"/>
        </w:rPr>
        <w:t>]</w:t>
      </w:r>
    </w:p>
    <w:p w:rsidR="00D173D4" w:rsidRDefault="00D173D4">
      <w:pPr>
        <w:pStyle w:val="Paragrafoelenco1"/>
        <w:numPr>
          <w:ilvl w:val="0"/>
          <w:numId w:val="7"/>
        </w:numPr>
        <w:spacing w:before="120" w:after="120" w:line="360" w:lineRule="auto"/>
        <w:jc w:val="both"/>
        <w:rPr>
          <w:rFonts w:ascii="Times New Roman" w:hAnsi="Times New Roman"/>
          <w:sz w:val="24"/>
          <w:szCs w:val="24"/>
        </w:rPr>
      </w:pPr>
      <w:r>
        <w:rPr>
          <w:rFonts w:ascii="Times New Roman" w:hAnsi="Times New Roman"/>
          <w:sz w:val="24"/>
          <w:szCs w:val="24"/>
        </w:rPr>
        <w:t>n. reversali incassate ultimo anno (201</w:t>
      </w:r>
      <w:r w:rsidR="001C74D7">
        <w:rPr>
          <w:rFonts w:ascii="Times New Roman" w:hAnsi="Times New Roman"/>
          <w:sz w:val="24"/>
          <w:szCs w:val="24"/>
        </w:rPr>
        <w:t>4</w:t>
      </w:r>
      <w:r>
        <w:rPr>
          <w:rFonts w:ascii="Times New Roman" w:hAnsi="Times New Roman"/>
          <w:sz w:val="24"/>
          <w:szCs w:val="24"/>
        </w:rPr>
        <w:t>) e ultimo triennio: [</w:t>
      </w:r>
      <w:r w:rsidR="00DC0C4A">
        <w:rPr>
          <w:rFonts w:ascii="Times New Roman" w:hAnsi="Times New Roman"/>
          <w:sz w:val="24"/>
          <w:szCs w:val="24"/>
        </w:rPr>
        <w:t>39</w:t>
      </w:r>
      <w:r>
        <w:rPr>
          <w:rFonts w:ascii="Times New Roman" w:hAnsi="Times New Roman"/>
          <w:sz w:val="24"/>
          <w:szCs w:val="24"/>
        </w:rPr>
        <w:t>] e [</w:t>
      </w:r>
      <w:r w:rsidR="00DC0C4A">
        <w:rPr>
          <w:rFonts w:ascii="Times New Roman" w:hAnsi="Times New Roman"/>
          <w:sz w:val="24"/>
          <w:szCs w:val="24"/>
        </w:rPr>
        <w:t>115</w:t>
      </w:r>
      <w:r>
        <w:rPr>
          <w:rFonts w:ascii="Times New Roman" w:hAnsi="Times New Roman"/>
          <w:sz w:val="24"/>
          <w:szCs w:val="24"/>
        </w:rPr>
        <w:t>]</w:t>
      </w:r>
    </w:p>
    <w:p w:rsidR="00D173D4" w:rsidRPr="0086442B" w:rsidRDefault="00D173D4">
      <w:pPr>
        <w:pStyle w:val="Paragrafoelenco1"/>
        <w:numPr>
          <w:ilvl w:val="0"/>
          <w:numId w:val="7"/>
        </w:numPr>
        <w:spacing w:before="120" w:after="120" w:line="360" w:lineRule="auto"/>
        <w:jc w:val="both"/>
        <w:rPr>
          <w:rFonts w:ascii="Times New Roman" w:hAnsi="Times New Roman"/>
          <w:sz w:val="24"/>
          <w:szCs w:val="24"/>
        </w:rPr>
      </w:pPr>
      <w:r w:rsidRPr="0086442B">
        <w:rPr>
          <w:rFonts w:ascii="Times New Roman" w:hAnsi="Times New Roman"/>
          <w:sz w:val="24"/>
          <w:szCs w:val="24"/>
        </w:rPr>
        <w:t>titoli e valori da amministrare: [</w:t>
      </w:r>
      <w:r w:rsidR="0007024C" w:rsidRPr="0086442B">
        <w:rPr>
          <w:rFonts w:ascii="Times New Roman" w:hAnsi="Times New Roman"/>
          <w:sz w:val="24"/>
          <w:szCs w:val="24"/>
        </w:rPr>
        <w:t>296076,27</w:t>
      </w:r>
      <w:r w:rsidRPr="0086442B">
        <w:rPr>
          <w:rFonts w:ascii="Times New Roman" w:hAnsi="Times New Roman"/>
          <w:sz w:val="24"/>
          <w:szCs w:val="24"/>
        </w:rPr>
        <w:t>]</w:t>
      </w:r>
    </w:p>
    <w:p w:rsidR="00D173D4" w:rsidRPr="00DC0C4A" w:rsidRDefault="00D173D4" w:rsidP="00DC0C4A">
      <w:pPr>
        <w:pStyle w:val="Paragrafoelenco1"/>
        <w:numPr>
          <w:ilvl w:val="0"/>
          <w:numId w:val="7"/>
        </w:numPr>
        <w:spacing w:before="120" w:after="120" w:line="360" w:lineRule="auto"/>
        <w:jc w:val="both"/>
        <w:rPr>
          <w:rFonts w:ascii="Times New Roman" w:hAnsi="Times New Roman"/>
          <w:sz w:val="24"/>
          <w:szCs w:val="24"/>
        </w:rPr>
      </w:pPr>
      <w:r w:rsidRPr="00DC0C4A">
        <w:rPr>
          <w:rFonts w:ascii="Times New Roman" w:hAnsi="Times New Roman"/>
          <w:sz w:val="24"/>
          <w:szCs w:val="24"/>
        </w:rPr>
        <w:t>n. progetti europei ul</w:t>
      </w:r>
      <w:r w:rsidR="00DC0C4A" w:rsidRPr="00DC0C4A">
        <w:rPr>
          <w:rFonts w:ascii="Times New Roman" w:hAnsi="Times New Roman"/>
          <w:sz w:val="24"/>
          <w:szCs w:val="24"/>
        </w:rPr>
        <w:t>timo anno e ultimo triennio : [3</w:t>
      </w:r>
      <w:r w:rsidRPr="00DC0C4A">
        <w:rPr>
          <w:rFonts w:ascii="Times New Roman" w:hAnsi="Times New Roman"/>
          <w:sz w:val="24"/>
          <w:szCs w:val="24"/>
        </w:rPr>
        <w:t>]</w:t>
      </w:r>
      <w:r w:rsidR="00DC0C4A" w:rsidRPr="00DC0C4A">
        <w:rPr>
          <w:rFonts w:ascii="Times New Roman" w:hAnsi="Times New Roman"/>
          <w:sz w:val="24"/>
          <w:szCs w:val="24"/>
        </w:rPr>
        <w:t xml:space="preserve"> e [5]</w:t>
      </w:r>
    </w:p>
    <w:p w:rsidR="00D173D4" w:rsidRPr="00DC0C4A" w:rsidRDefault="00D173D4" w:rsidP="00DC0C4A">
      <w:pPr>
        <w:pStyle w:val="Paragrafoelenco1"/>
        <w:numPr>
          <w:ilvl w:val="0"/>
          <w:numId w:val="7"/>
        </w:numPr>
        <w:spacing w:before="120" w:after="120" w:line="360" w:lineRule="auto"/>
        <w:jc w:val="both"/>
        <w:rPr>
          <w:rFonts w:ascii="Times New Roman" w:hAnsi="Times New Roman"/>
          <w:sz w:val="24"/>
          <w:szCs w:val="24"/>
        </w:rPr>
      </w:pPr>
      <w:r w:rsidRPr="00DC0C4A">
        <w:rPr>
          <w:rFonts w:ascii="Times New Roman" w:hAnsi="Times New Roman"/>
          <w:sz w:val="24"/>
          <w:szCs w:val="24"/>
        </w:rPr>
        <w:t>importo complessivo progetti europei ultimo anno e ultimo triennio: [</w:t>
      </w:r>
      <w:r w:rsidR="00DC0C4A" w:rsidRPr="00DC0C4A">
        <w:rPr>
          <w:rFonts w:ascii="Times New Roman" w:hAnsi="Times New Roman"/>
          <w:sz w:val="24"/>
          <w:szCs w:val="24"/>
        </w:rPr>
        <w:t>119.999,97</w:t>
      </w:r>
      <w:r w:rsidRPr="00DC0C4A">
        <w:rPr>
          <w:rFonts w:ascii="Times New Roman" w:hAnsi="Times New Roman"/>
          <w:sz w:val="24"/>
          <w:szCs w:val="24"/>
        </w:rPr>
        <w:t>]</w:t>
      </w:r>
      <w:r w:rsidR="00DC0C4A" w:rsidRPr="00DC0C4A">
        <w:rPr>
          <w:rFonts w:ascii="Times New Roman" w:hAnsi="Times New Roman"/>
          <w:sz w:val="24"/>
          <w:szCs w:val="24"/>
        </w:rPr>
        <w:t xml:space="preserve"> e [218.291,57]</w:t>
      </w:r>
    </w:p>
    <w:p w:rsidR="00D173D4" w:rsidRDefault="00D173D4">
      <w:pPr>
        <w:pStyle w:val="Paragrafoelenco1"/>
        <w:numPr>
          <w:ilvl w:val="0"/>
          <w:numId w:val="7"/>
        </w:numPr>
        <w:spacing w:before="120" w:after="120" w:line="360" w:lineRule="auto"/>
        <w:jc w:val="both"/>
        <w:rPr>
          <w:rFonts w:ascii="Times New Roman" w:hAnsi="Times New Roman"/>
          <w:sz w:val="24"/>
          <w:szCs w:val="24"/>
        </w:rPr>
      </w:pPr>
      <w:r>
        <w:rPr>
          <w:rFonts w:ascii="Times New Roman" w:hAnsi="Times New Roman"/>
          <w:sz w:val="24"/>
          <w:szCs w:val="24"/>
        </w:rPr>
        <w:lastRenderedPageBreak/>
        <w:t>n. alunni: [</w:t>
      </w:r>
      <w:r w:rsidR="009E2F82">
        <w:rPr>
          <w:rFonts w:ascii="Times New Roman" w:hAnsi="Times New Roman"/>
          <w:sz w:val="24"/>
          <w:szCs w:val="24"/>
        </w:rPr>
        <w:t xml:space="preserve"> 657   </w:t>
      </w:r>
      <w:r>
        <w:rPr>
          <w:rFonts w:ascii="Times New Roman" w:hAnsi="Times New Roman"/>
          <w:sz w:val="24"/>
          <w:szCs w:val="24"/>
        </w:rPr>
        <w:t>]</w:t>
      </w:r>
    </w:p>
    <w:p w:rsidR="00D173D4" w:rsidRDefault="00D173D4">
      <w:pPr>
        <w:pStyle w:val="Paragrafoelenco1"/>
        <w:numPr>
          <w:ilvl w:val="0"/>
          <w:numId w:val="7"/>
        </w:numPr>
        <w:spacing w:before="120" w:after="120" w:line="360" w:lineRule="auto"/>
        <w:jc w:val="both"/>
        <w:rPr>
          <w:rFonts w:ascii="Times New Roman" w:hAnsi="Times New Roman"/>
          <w:sz w:val="24"/>
          <w:szCs w:val="24"/>
        </w:rPr>
      </w:pPr>
      <w:r>
        <w:rPr>
          <w:rFonts w:ascii="Times New Roman" w:hAnsi="Times New Roman"/>
          <w:sz w:val="24"/>
          <w:szCs w:val="24"/>
        </w:rPr>
        <w:t>n. personale dipendente: [</w:t>
      </w:r>
      <w:r w:rsidR="001C74D7">
        <w:rPr>
          <w:rFonts w:ascii="Times New Roman" w:hAnsi="Times New Roman"/>
          <w:sz w:val="24"/>
          <w:szCs w:val="24"/>
        </w:rPr>
        <w:t>_</w:t>
      </w:r>
      <w:r w:rsidR="00DD401D">
        <w:rPr>
          <w:rFonts w:ascii="Times New Roman" w:hAnsi="Times New Roman"/>
          <w:sz w:val="24"/>
          <w:szCs w:val="24"/>
        </w:rPr>
        <w:t>70</w:t>
      </w:r>
      <w:r>
        <w:rPr>
          <w:rFonts w:ascii="Times New Roman" w:hAnsi="Times New Roman"/>
          <w:sz w:val="24"/>
          <w:szCs w:val="24"/>
        </w:rPr>
        <w:t>]</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Si precisa che, ai sensi del D.I. 44/2011, l’esercizio finanziario degli Istituti Scolastici ha durata annuale, con inizio il 1° gennaio e termine il 31 dicembre di ciascun anno; dopo tale termine non possono essere effettuati accertamenti di entrata ed impegni di spesa in conto dell’esercizio scaduto.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Si precisa inoltre che gli Istituti Scolastici, ai sensi del D.L. 95/2012 convertito nella legge 135/2012, si intendono inclusi nella tabella A annessa alla legge 720/1984 e pertanto sottoposti a regime di Tesoreria Unica di cui alla medesima legge ss. mm. e </w:t>
      </w:r>
      <w:proofErr w:type="spellStart"/>
      <w:r>
        <w:rPr>
          <w:rFonts w:ascii="Times New Roman" w:hAnsi="Times New Roman"/>
          <w:sz w:val="24"/>
          <w:szCs w:val="24"/>
        </w:rPr>
        <w:t>ii</w:t>
      </w:r>
      <w:proofErr w:type="spellEnd"/>
      <w:r>
        <w:rPr>
          <w:rFonts w:ascii="Times New Roman" w:hAnsi="Times New Roman"/>
          <w:sz w:val="24"/>
          <w:szCs w:val="24"/>
        </w:rPr>
        <w:t xml:space="preserve">., nonché ai decreti attuativi del 22 novembre 1985, 4 agosto 2009 e 27 aprile 2012 ss. mm. e </w:t>
      </w:r>
      <w:proofErr w:type="spellStart"/>
      <w:r>
        <w:rPr>
          <w:rFonts w:ascii="Times New Roman" w:hAnsi="Times New Roman"/>
          <w:sz w:val="24"/>
          <w:szCs w:val="24"/>
        </w:rPr>
        <w:t>ii</w:t>
      </w:r>
      <w:proofErr w:type="spellEnd"/>
      <w:r>
        <w:rPr>
          <w:rFonts w:ascii="Times New Roman" w:hAnsi="Times New Roman"/>
          <w:sz w:val="24"/>
          <w:szCs w:val="24"/>
        </w:rPr>
        <w:t>..</w:t>
      </w:r>
    </w:p>
    <w:p w:rsidR="00D173D4" w:rsidRDefault="00D173D4">
      <w:pPr>
        <w:spacing w:before="120" w:after="120" w:line="360" w:lineRule="auto"/>
        <w:jc w:val="both"/>
        <w:rPr>
          <w:rFonts w:ascii="Times New Roman" w:hAnsi="Times New Roman"/>
          <w:i/>
          <w:sz w:val="24"/>
          <w:szCs w:val="24"/>
        </w:rPr>
      </w:pPr>
      <w:r>
        <w:rPr>
          <w:rFonts w:ascii="Times New Roman" w:hAnsi="Times New Roman"/>
          <w:i/>
          <w:sz w:val="24"/>
          <w:szCs w:val="24"/>
        </w:rPr>
        <w:t>[Il Gestore aggiudicatario della procedura si impegna a svolgere i servizi richiesti dall’ Istituto  alle condizioni tecnico/economiche di aggiudicazione.]</w:t>
      </w:r>
    </w:p>
    <w:p w:rsidR="00D173D4" w:rsidRDefault="00D173D4">
      <w:pPr>
        <w:spacing w:before="120" w:after="120" w:line="360" w:lineRule="auto"/>
        <w:jc w:val="both"/>
        <w:rPr>
          <w:rFonts w:ascii="Times New Roman" w:hAnsi="Times New Roman"/>
          <w:i/>
          <w:sz w:val="28"/>
          <w:szCs w:val="24"/>
        </w:rPr>
      </w:pPr>
    </w:p>
    <w:p w:rsidR="00D173D4" w:rsidRDefault="00D173D4">
      <w:pPr>
        <w:pStyle w:val="Paragrafoelenco1"/>
        <w:numPr>
          <w:ilvl w:val="0"/>
          <w:numId w:val="13"/>
        </w:numPr>
        <w:spacing w:before="120" w:after="120" w:line="360" w:lineRule="auto"/>
        <w:jc w:val="both"/>
        <w:rPr>
          <w:rFonts w:ascii="Times New Roman" w:hAnsi="Times New Roman"/>
          <w:b/>
          <w:sz w:val="24"/>
          <w:szCs w:val="24"/>
        </w:rPr>
      </w:pPr>
      <w:r>
        <w:rPr>
          <w:rFonts w:ascii="Times New Roman" w:hAnsi="Times New Roman"/>
          <w:b/>
          <w:sz w:val="24"/>
          <w:szCs w:val="24"/>
        </w:rPr>
        <w:t>Oggetto dell’Appalto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Oggetto dell’Appalto è l’affidamento della gestione del servizio di cassa per un periodo di </w:t>
      </w:r>
      <w:r w:rsidR="00C12E8E">
        <w:rPr>
          <w:rFonts w:ascii="Times New Roman" w:hAnsi="Times New Roman"/>
          <w:sz w:val="24"/>
          <w:szCs w:val="24"/>
        </w:rPr>
        <w:t>48</w:t>
      </w:r>
      <w:r w:rsidRPr="008B00D1">
        <w:rPr>
          <w:rFonts w:ascii="Times New Roman" w:hAnsi="Times New Roman"/>
          <w:sz w:val="24"/>
          <w:szCs w:val="24"/>
        </w:rPr>
        <w:t xml:space="preserve"> (</w:t>
      </w:r>
      <w:r w:rsidR="00C12E8E">
        <w:rPr>
          <w:rFonts w:ascii="Times New Roman" w:hAnsi="Times New Roman"/>
          <w:sz w:val="24"/>
          <w:szCs w:val="24"/>
        </w:rPr>
        <w:t>QUARANTOTTO</w:t>
      </w:r>
      <w:r w:rsidRPr="008B00D1">
        <w:rPr>
          <w:rFonts w:ascii="Times New Roman" w:hAnsi="Times New Roman"/>
          <w:sz w:val="24"/>
          <w:szCs w:val="24"/>
        </w:rPr>
        <w:t>)</w:t>
      </w:r>
      <w:r>
        <w:rPr>
          <w:rFonts w:ascii="Times New Roman" w:hAnsi="Times New Roman"/>
          <w:sz w:val="24"/>
          <w:szCs w:val="24"/>
        </w:rPr>
        <w:t xml:space="preserve"> mesi, comprensivo dei servizi di seguito descritti tra cui la riscossione delle entrate e il pagamento delle spese facenti capo all’Istituto e dallo stesso ordinate, la custodia e amministrazione dei titoli e valori, il rilascio di carte di credito, di debito e prepagate, i servizi di anticipazione di cassa e di apertura di credito finalizzate alla realizzazione di progetti formativi, l’attivazione di strumenti evoluti di incasso.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Nel corso della durata contrattuale, relativamente alle disponibilità non sottoposte al regime di tesoreria unica, quali, a titolo esemplificativo, valori mobiliari provenienti da atti di liberalità di privati che hanno posto uno specifico vincolo di destinazione al lascito e risorse rivenienti da operazioni di indebitamento, non sorrette da contributo pubblico (cfr. D.M. 22 Novembre 1985 ss. mm. e </w:t>
      </w:r>
      <w:proofErr w:type="spellStart"/>
      <w:r>
        <w:rPr>
          <w:rFonts w:ascii="Times New Roman" w:hAnsi="Times New Roman"/>
          <w:sz w:val="24"/>
          <w:szCs w:val="24"/>
        </w:rPr>
        <w:t>ii</w:t>
      </w:r>
      <w:proofErr w:type="spellEnd"/>
      <w:r>
        <w:rPr>
          <w:rFonts w:ascii="Times New Roman" w:hAnsi="Times New Roman"/>
          <w:sz w:val="24"/>
          <w:szCs w:val="24"/>
        </w:rPr>
        <w:t xml:space="preserve">), è facoltà dell’Istituto richiedere al Gestore servizi </w:t>
      </w:r>
      <w:proofErr w:type="spellStart"/>
      <w:r>
        <w:rPr>
          <w:rFonts w:ascii="Times New Roman" w:hAnsi="Times New Roman"/>
          <w:sz w:val="24"/>
          <w:szCs w:val="24"/>
        </w:rPr>
        <w:t>consulenziali</w:t>
      </w:r>
      <w:proofErr w:type="spellEnd"/>
      <w:r>
        <w:rPr>
          <w:rFonts w:ascii="Times New Roman" w:hAnsi="Times New Roman"/>
          <w:sz w:val="24"/>
          <w:szCs w:val="24"/>
        </w:rPr>
        <w:t xml:space="preserve"> volti a migliorare la redditività delle giacenze concordando con il Gestore tempi e modalità di vincolo delle giacenze stesse.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nell’Allegato tecnico sul formato dei flussi di cui alle </w:t>
      </w:r>
      <w:r>
        <w:rPr>
          <w:rFonts w:ascii="Times New Roman" w:hAnsi="Times New Roman"/>
          <w:sz w:val="24"/>
          <w:szCs w:val="24"/>
        </w:rPr>
        <w:lastRenderedPageBreak/>
        <w:t xml:space="preserve">Linee Guida di </w:t>
      </w:r>
      <w:proofErr w:type="spellStart"/>
      <w:r>
        <w:rPr>
          <w:rFonts w:ascii="Times New Roman" w:hAnsi="Times New Roman"/>
          <w:sz w:val="24"/>
          <w:szCs w:val="24"/>
        </w:rPr>
        <w:t>DigitPA</w:t>
      </w:r>
      <w:proofErr w:type="spellEnd"/>
      <w:r>
        <w:rPr>
          <w:rFonts w:ascii="Times New Roman" w:hAnsi="Times New Roman"/>
          <w:sz w:val="24"/>
          <w:szCs w:val="24"/>
        </w:rPr>
        <w:t xml:space="preserve"> del 21 luglio 2011 recanti l’“Aggiornamento dello standard OIL – Applicazione alle Istituzioni Scolastiche”. L’OIL deve essere comunque sottoscritto con firma digitale.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L’erogazione del servizio mediante OIL rappresenta una prescrizione minima del presente capitolato e s’intende prestato dal Gestore a titolo gratuito, pertanto non saranno ammesse offerte che non prevedano l’utilizzo di tale strumento.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Al fine di garantire l’integrità, la riservatezza, la legittimità e la non </w:t>
      </w:r>
      <w:proofErr w:type="spellStart"/>
      <w:r>
        <w:rPr>
          <w:rFonts w:ascii="Times New Roman" w:hAnsi="Times New Roman"/>
          <w:sz w:val="24"/>
          <w:szCs w:val="24"/>
        </w:rPr>
        <w:t>ripudiabilità</w:t>
      </w:r>
      <w:proofErr w:type="spellEnd"/>
      <w:r>
        <w:rPr>
          <w:rFonts w:ascii="Times New Roman" w:hAnsi="Times New Roman"/>
          <w:sz w:val="24"/>
          <w:szCs w:val="24"/>
        </w:rPr>
        <w:t xml:space="preserve"> dei documenti trasmessi elettronicamente dall’Istituto, il Gestore si impegna a:</w:t>
      </w:r>
    </w:p>
    <w:p w:rsidR="00D173D4" w:rsidRDefault="00D173D4">
      <w:pPr>
        <w:pStyle w:val="Paragrafoelenco1"/>
        <w:numPr>
          <w:ilvl w:val="0"/>
          <w:numId w:val="9"/>
        </w:numPr>
        <w:spacing w:before="120" w:after="120" w:line="360" w:lineRule="auto"/>
        <w:ind w:left="284" w:hanging="284"/>
        <w:jc w:val="both"/>
        <w:rPr>
          <w:rFonts w:ascii="Times New Roman" w:hAnsi="Times New Roman"/>
          <w:sz w:val="24"/>
          <w:szCs w:val="24"/>
        </w:rPr>
      </w:pPr>
      <w:r>
        <w:rPr>
          <w:rFonts w:ascii="Times New Roman" w:hAnsi="Times New Roman"/>
          <w:sz w:val="24"/>
          <w:szCs w:val="24"/>
        </w:rPr>
        <w:t>mettere a disposizione un sistema di codici personali di accesso per i soggetti individuati dall’Istituto medesimo;</w:t>
      </w:r>
    </w:p>
    <w:p w:rsidR="00D173D4" w:rsidRDefault="00D173D4">
      <w:pPr>
        <w:pStyle w:val="Paragrafoelenco1"/>
        <w:numPr>
          <w:ilvl w:val="0"/>
          <w:numId w:val="9"/>
        </w:numPr>
        <w:spacing w:before="120" w:after="120" w:line="360" w:lineRule="auto"/>
        <w:ind w:left="284" w:hanging="284"/>
        <w:jc w:val="both"/>
        <w:rPr>
          <w:rFonts w:ascii="Times New Roman" w:hAnsi="Times New Roman"/>
          <w:sz w:val="24"/>
          <w:szCs w:val="24"/>
        </w:rPr>
      </w:pPr>
      <w:r>
        <w:rPr>
          <w:rFonts w:ascii="Times New Roman" w:hAnsi="Times New Roman"/>
          <w:sz w:val="24"/>
          <w:szCs w:val="24"/>
        </w:rPr>
        <w:t>fornire gratuitamente non meno di due chiavi e lettori di firma digitale, al fine di consentire all’Istituto di assolvere agli obblighi di firma digitale nell’utilizzo di OIL;</w:t>
      </w:r>
    </w:p>
    <w:p w:rsidR="00D173D4" w:rsidRDefault="00D173D4">
      <w:pPr>
        <w:pStyle w:val="Paragrafoelenco1"/>
        <w:numPr>
          <w:ilvl w:val="0"/>
          <w:numId w:val="9"/>
        </w:numPr>
        <w:spacing w:before="120" w:after="120" w:line="360" w:lineRule="auto"/>
        <w:ind w:left="284" w:hanging="284"/>
        <w:jc w:val="both"/>
        <w:rPr>
          <w:rFonts w:ascii="Times New Roman" w:hAnsi="Times New Roman"/>
          <w:sz w:val="24"/>
          <w:szCs w:val="24"/>
        </w:rPr>
      </w:pPr>
      <w:r>
        <w:rPr>
          <w:rFonts w:ascii="Times New Roman" w:hAnsi="Times New Roman"/>
          <w:sz w:val="24"/>
          <w:szCs w:val="24"/>
        </w:rPr>
        <w:t>attivare il funzionamento e lo scambio dei flussi OIL.</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Nell’ambito dell’offerta tecnica il Gestore potrà descrivere eventuali servizi aggiuntivi messi a disposizione dell’Istituto, sia a garanzia del più efficiente utilizzo dell’OIL, quale strumento di automazione degli incassi e dei pagamenti, sia per il miglioramento dei processi e degli strumenti di gestione amministrativa, contabile ed organizzativa. Tali servizi potranno riguardare, a mero titolo esemplificativo, attività formative, assistenza e fornitura di strumenti informatici a supporto.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L’Istituto corrisponderà, inoltre, al Gestore il compenso e le spese annue di gestione e tenuta conto, ivi comprese le spese per attività di riscossione (par. 2.1) e di pagamento (par. 2.2), alle quali andranno ad aggiungersi, in conformità all’art. 15 dello Schema di Convenzione, anche le spese di emissione e gestione delle carte di credito (par. 2.3), amministrazione titoli e valori (par. 2.6), nonché l’attivazione dei servizi di </w:t>
      </w:r>
      <w:r>
        <w:rPr>
          <w:rFonts w:ascii="Times New Roman" w:hAnsi="Times New Roman"/>
          <w:i/>
          <w:sz w:val="24"/>
          <w:szCs w:val="24"/>
        </w:rPr>
        <w:t>remote banking</w:t>
      </w:r>
      <w:r>
        <w:rPr>
          <w:rFonts w:ascii="Times New Roman" w:hAnsi="Times New Roman"/>
          <w:sz w:val="24"/>
          <w:szCs w:val="24"/>
        </w:rPr>
        <w:t xml:space="preserve">, consentendo all’Istituto di usufruire di informazioni e strumenti, in modo sicuro ed in tempo reale, tramite canali tecnologici, telematici ed elettronici.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La modalità di remunerazione dei servizi sopra elencati e degli ulteriori è di seguito descritta.</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L’Istituto, ai sensi dell’art. 13 dello Schema di Convenzione, ha diritto di procedere a verifiche di cassa e dei valori dati in carico ogni qualvolta lo ritenga necessario ed opportuno. Il Gestore deve esibire, ad ogni richiesta, la documentazione informatica e le evidenze contabili relative alla gestione.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dovrà mettere a disposizione dell’Istituto tutti gli sportelli dislocati sul territorio nazionale, al fine di garantire la circolarità delle operazioni di incasso e pagamento presso uno qualsiasi degli stessi.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lastRenderedPageBreak/>
        <w:t xml:space="preserve">Di seguito sono dettagliatamente descritti i servizi oggetto dell’appalto; resta inteso che gli stessi dovranno essere prestati dal Gestore in conformità al presente Capitolato, allo Schema di Convenzione, al D.I. 44/2001 ss. mm. e </w:t>
      </w:r>
      <w:proofErr w:type="spellStart"/>
      <w:r>
        <w:rPr>
          <w:rFonts w:ascii="Times New Roman" w:hAnsi="Times New Roman"/>
          <w:sz w:val="24"/>
          <w:szCs w:val="24"/>
        </w:rPr>
        <w:t>ii</w:t>
      </w:r>
      <w:proofErr w:type="spellEnd"/>
      <w:r>
        <w:rPr>
          <w:rFonts w:ascii="Times New Roman" w:hAnsi="Times New Roman"/>
          <w:sz w:val="24"/>
          <w:szCs w:val="24"/>
        </w:rPr>
        <w:t xml:space="preserve">., al D.L. 95/2012 convertito nella legge 135/2012, alla Legge 720/1984 ss. mm. e </w:t>
      </w:r>
      <w:proofErr w:type="spellStart"/>
      <w:r>
        <w:rPr>
          <w:rFonts w:ascii="Times New Roman" w:hAnsi="Times New Roman"/>
          <w:sz w:val="24"/>
          <w:szCs w:val="24"/>
        </w:rPr>
        <w:t>ii</w:t>
      </w:r>
      <w:proofErr w:type="spellEnd"/>
      <w:r>
        <w:rPr>
          <w:rFonts w:ascii="Times New Roman" w:hAnsi="Times New Roman"/>
          <w:sz w:val="24"/>
          <w:szCs w:val="24"/>
        </w:rPr>
        <w:t xml:space="preserve">, ai decreti attuativi del 22 novembre 1985, 4 agosto 2009 e 27 Aprile 2012 ss. mm. e </w:t>
      </w:r>
      <w:proofErr w:type="spellStart"/>
      <w:r>
        <w:rPr>
          <w:rFonts w:ascii="Times New Roman" w:hAnsi="Times New Roman"/>
          <w:sz w:val="24"/>
          <w:szCs w:val="24"/>
        </w:rPr>
        <w:t>ii</w:t>
      </w:r>
      <w:proofErr w:type="spellEnd"/>
      <w:r>
        <w:rPr>
          <w:rFonts w:ascii="Times New Roman" w:hAnsi="Times New Roman"/>
          <w:sz w:val="24"/>
          <w:szCs w:val="24"/>
        </w:rPr>
        <w:t>, nonché all’Allegato Tecnico.</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sz w:val="24"/>
          <w:szCs w:val="24"/>
        </w:rPr>
      </w:pPr>
      <w:r>
        <w:rPr>
          <w:rFonts w:ascii="Times New Roman" w:hAnsi="Times New Roman"/>
          <w:b/>
          <w:sz w:val="24"/>
          <w:szCs w:val="24"/>
        </w:rPr>
        <w:t>Gestione delle riscossioni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Le entrate sono riscosse dal Gestore in base ad ordinativi di incasso (reversali) emessi dall'Istituto tramite OIL firmati digitalmente dal Dirigente Scolastico e dal Direttore dei Servizi Generali ed Amministrativi.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procederà a caricare in procedura le reversali entro il secondo giorno lavorativo successivo a quello dell’invio del messaggio di presa in carico.</w:t>
      </w:r>
    </w:p>
    <w:p w:rsidR="00D173D4" w:rsidRDefault="00D173D4">
      <w:pPr>
        <w:pStyle w:val="Paragrafoelenco1"/>
        <w:spacing w:before="120" w:after="120" w:line="360" w:lineRule="auto"/>
        <w:ind w:left="284"/>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sz w:val="24"/>
          <w:szCs w:val="24"/>
        </w:rPr>
      </w:pPr>
      <w:r>
        <w:rPr>
          <w:rFonts w:ascii="Times New Roman" w:hAnsi="Times New Roman"/>
          <w:b/>
          <w:sz w:val="24"/>
          <w:szCs w:val="24"/>
        </w:rPr>
        <w:t>Gestione dei pagamenti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 pagamenti sono effettuati dal Gestore in base ad ordinativi di pagamento (mandati) emessi dall'Istituto tramite OIL firmati digitalmente dal Dirigente scolastico e dal Direttore dei Servizi Generali ed Amministrativi e relativi ad un unico beneficiario.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lastRenderedPageBreak/>
        <w:t xml:space="preserve">I mandati devono essere ammessi al pagamento entro e non oltre il secondo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all’art. 5, comma 10 dello Schema di Convezione.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dell’art. 15 dello Schema di Convenzione.</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sz w:val="24"/>
          <w:szCs w:val="24"/>
        </w:rPr>
      </w:pPr>
      <w:r>
        <w:rPr>
          <w:rFonts w:ascii="Times New Roman" w:hAnsi="Times New Roman"/>
          <w:b/>
          <w:sz w:val="24"/>
          <w:szCs w:val="24"/>
        </w:rPr>
        <w:t>Rilascio carte aziendali di credito, di debito e prepagate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Su richiesta dell’Istituto, il Gestore rilascia carte di credito, di debito e prepagate regolate da apposito contratto. Le carte devono essere intestate esclusivamente al Dirigente Scolastico, ovvero a soggetti dallo stesso delegati all’utilizzo delle medesime.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Nel corso di validità contrattuale, il servizio di attivazione e di gestione delle carte di debito e delle carte prepagate - nelle quantità definite dal Dirigente Scolastico - deve intendersi prestato a titolo gratuito fatta eccezione degli oneri di ricarica per le carte prepagate; per tali oneri l’Istituto corrisponderà al Gestore quanto indicato in sede di presentazione delle offerte.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Per l’attivazione e gestione delle carte di credito l’Istituto corrisponderà al Gestore il compenso indicato dallo stesso in sede di presentazione delle offerte che sarà ricompreso nell’ambito dell’art. 15 dello Schema di Convenzione.</w:t>
      </w:r>
    </w:p>
    <w:p w:rsidR="00D173D4" w:rsidRDefault="00D173D4">
      <w:pPr>
        <w:pStyle w:val="Paragrafoelenco1"/>
        <w:spacing w:before="120" w:after="120" w:line="360" w:lineRule="auto"/>
        <w:ind w:left="284"/>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b/>
          <w:sz w:val="24"/>
          <w:szCs w:val="24"/>
        </w:rPr>
      </w:pPr>
      <w:r>
        <w:rPr>
          <w:rFonts w:ascii="Times New Roman" w:hAnsi="Times New Roman"/>
          <w:b/>
          <w:sz w:val="24"/>
          <w:szCs w:val="24"/>
        </w:rPr>
        <w:t>Gestione della liquidità</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Per le disponibilità non sottoposte al regime di tesoreria unica, quali, a titolo esemplificativo, valori mobiliari provenienti da atti di liberalità di privati che hanno posto uno specifico vincolo di </w:t>
      </w:r>
      <w:r>
        <w:rPr>
          <w:rFonts w:ascii="Times New Roman" w:hAnsi="Times New Roman"/>
          <w:sz w:val="24"/>
          <w:szCs w:val="24"/>
        </w:rPr>
        <w:lastRenderedPageBreak/>
        <w:t xml:space="preserve">destinazione al lascito e risorse rivenienti da operazioni di indebitamento, non sorrette da contributo pubblico (cfr. D.M. 22 novembre 1985, ss. mm. e </w:t>
      </w:r>
      <w:proofErr w:type="spellStart"/>
      <w:r>
        <w:rPr>
          <w:rFonts w:ascii="Times New Roman" w:hAnsi="Times New Roman"/>
          <w:sz w:val="24"/>
          <w:szCs w:val="24"/>
        </w:rPr>
        <w:t>ii</w:t>
      </w:r>
      <w:proofErr w:type="spellEnd"/>
      <w:r>
        <w:rPr>
          <w:rFonts w:ascii="Times New Roman" w:hAnsi="Times New Roman"/>
          <w:sz w:val="24"/>
          <w:szCs w:val="24"/>
        </w:rPr>
        <w:t xml:space="preserve">.), il Gestore dovrà assicurare una redditività delle giacenze pari al tasso indicato nell’ambito dell’offerta economica.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tasso d’interesse attivo ai sensi dell’art. 14 comma 1 dello Schema di Convenzione dovrà essere collegato al tasso EURIBOR 365 a 3 mesi, la cui liquidazione ha luogo con cadenza trimestrale, e dovrà essere espresso come valore complessivo dato dal tasso EURIBOR, come sopra descritto, ed i punti percentuali in aumento/diminuzione offerti dal Gestore.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Previa richiesta dell’Istituto, per le suddette disponibilità, il Gestore potrà proporre forme di miglioramento della redditività e/o investimenti che ottimizzino la gestione delle liquidità, in base alle esigenze dell’Istituto stesso e alle migliori condizioni di mercato.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Tali soluzioni di investimento dovranno sempre assicurare la conservazione del capitale impegnato, anche nel caso di riscatto anticipato e tenendo conto dell’applicazione di eventuali penali. I tempi di investimento non devono in alcun caso incidere sul flusso di cassa necessario per il funzionamento dell’Istituto. La durata dei vincoli o degli investimenti deve comunque essere compresa nel periodo di vigenza della Convenzione che verrà sottoscritta con il Gestore.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L’Istituto, si riserva di valutare, per l’accettazione, le proposte presentate e i termini tecnici ed economici ad essi riferiti.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Nell’ambito dell’Offerta Tecnica, il Gestore potrà descrivere eventuali soluzioni organizzative che intende mettere in atto al fine di supportare l’Istituto nell’individuazione delle suddette soluzioni volte al miglioramento della redditività e/o degli investimenti. </w:t>
      </w:r>
    </w:p>
    <w:p w:rsidR="00D173D4" w:rsidRDefault="00D173D4">
      <w:pPr>
        <w:pStyle w:val="Paragrafoelenco1"/>
        <w:spacing w:before="120" w:after="120" w:line="360" w:lineRule="auto"/>
        <w:ind w:left="284"/>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b/>
          <w:sz w:val="24"/>
          <w:szCs w:val="24"/>
        </w:rPr>
      </w:pPr>
      <w:r>
        <w:rPr>
          <w:rFonts w:ascii="Times New Roman" w:hAnsi="Times New Roman"/>
          <w:b/>
          <w:sz w:val="24"/>
          <w:szCs w:val="24"/>
        </w:rPr>
        <w:t>Anticipazioni di cassa</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Nel solo caso di mancata disponibilità di fondi e per sopperire a momentanee esigenze dell’Istituto, su richiesta del Dirigente Scolastico, il Gestore, come previsto dall’art. 8, comma 1 dello Schema di Convenzione, si impegna a concedere anticipazioni di cassa nei limiti dei tre dodicesimi del trasferimento erogato dal MIUR nell’anno precedente, a titolo di dotazione ordinaria.</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Gli interessi a carico dell’Istituto sulle somme anticipate decorrono dalla data dell’effettivo utilizzo delle somme stesse e sono pari a quanto indicato dal Gestore in sede di presentazione dell’offerta, conformemente con quanto previsto all’art. 14, comma 2 dello Schema di Convenzione. Il tasso </w:t>
      </w:r>
      <w:r>
        <w:rPr>
          <w:rFonts w:ascii="Times New Roman" w:hAnsi="Times New Roman"/>
          <w:sz w:val="24"/>
          <w:szCs w:val="24"/>
        </w:rPr>
        <w:lastRenderedPageBreak/>
        <w:t>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procede al rientro delle anticipazioni utilizzate ai sensi della normativa e dei regolamenti vigenti.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b/>
          <w:sz w:val="24"/>
          <w:szCs w:val="24"/>
        </w:rPr>
      </w:pPr>
      <w:r>
        <w:rPr>
          <w:rFonts w:ascii="Times New Roman" w:hAnsi="Times New Roman"/>
          <w:b/>
          <w:sz w:val="24"/>
          <w:szCs w:val="24"/>
        </w:rPr>
        <w:t>Apertura di credito finalizzate alla realizzazione di progetti formativi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A conclusione dell’</w:t>
      </w:r>
      <w:r>
        <w:rPr>
          <w:rFonts w:ascii="Times New Roman" w:hAnsi="Times New Roman"/>
          <w:i/>
          <w:sz w:val="24"/>
          <w:szCs w:val="24"/>
        </w:rPr>
        <w:t>iter</w:t>
      </w:r>
      <w:r>
        <w:rPr>
          <w:rFonts w:ascii="Times New Roman" w:hAnsi="Times New Roman"/>
          <w:sz w:val="24"/>
          <w:szCs w:val="24"/>
        </w:rPr>
        <w:t xml:space="preserve"> </w:t>
      </w:r>
      <w:proofErr w:type="spellStart"/>
      <w:r>
        <w:rPr>
          <w:rFonts w:ascii="Times New Roman" w:hAnsi="Times New Roman"/>
          <w:sz w:val="24"/>
          <w:szCs w:val="24"/>
        </w:rPr>
        <w:t>autorizzativo</w:t>
      </w:r>
      <w:proofErr w:type="spellEnd"/>
      <w:r>
        <w:rPr>
          <w:rFonts w:ascii="Times New Roman" w:hAnsi="Times New Roman"/>
          <w:sz w:val="24"/>
          <w:szCs w:val="24"/>
        </w:rPr>
        <w:t xml:space="preserve"> dei progetti di formazione finanziati con trasferimenti statali ovvero comunitari, il Dirigente Scolastico, nelle more della ricezione di tali finanziamenti, può richiedere al Gestore apposite aperture di credito finalizzate alla realizzazione degli stessi.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come previsto dall’art. 9 comma 3, dello Schema di Convenzione, s’impegna a concedere aperture di credito per progetti formativi nei limiti della percentuale indicata in sede di presentazione dell’offerta, calcolata sul valore del trasferimento erogato dal MIUR nell’anno precedente, a titolo di dotazione ordinaria.</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Resta inteso che, nel calcolo di tale limite l’Istituto deve comunque ricomprendere anche gli importi di eventuali aperture di credito concesse dal gestore uscente e non ancora rientrate. La durata massima di dette operazioni non può superare i diciotto mesi.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procede di iniziativa per l’immediato rientro delle aperture di credito utilizzate non appena si verifichino le entrate di cui ai predetti finanziamenti statali o comunitari.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w:t>
      </w:r>
      <w:r>
        <w:rPr>
          <w:rFonts w:ascii="Times New Roman" w:hAnsi="Times New Roman"/>
          <w:sz w:val="24"/>
          <w:szCs w:val="24"/>
        </w:rPr>
        <w:lastRenderedPageBreak/>
        <w:t>approvato e comunque tener conto di eventuali parziali ammissioni agli importi dei bandi a cui la scuola partecipa.</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Per ciascuna richiesta l’Istituto corrisponderà al Gestore il tasso indicato in sede di presentazione dell’offerta, conformemente con quanto previsto all’art. 14, comma 3 dello Schema di Convenzione. Il tasso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w:t>
      </w:r>
    </w:p>
    <w:p w:rsidR="00D173D4" w:rsidRDefault="00D173D4">
      <w:pPr>
        <w:spacing w:before="120" w:after="120" w:line="360" w:lineRule="auto"/>
        <w:ind w:left="284"/>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b/>
          <w:sz w:val="24"/>
          <w:szCs w:val="24"/>
        </w:rPr>
      </w:pPr>
      <w:r>
        <w:rPr>
          <w:rFonts w:ascii="Times New Roman" w:hAnsi="Times New Roman"/>
          <w:b/>
          <w:sz w:val="24"/>
          <w:szCs w:val="24"/>
        </w:rPr>
        <w:t>Amministrazione titoli e valori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Per tale servizio, l’Istituto corrisponderà al Gestore il compenso annuo indicato in sede di presentazione dell’offerta che sarà ricompreso nell’ambito dell’art. 15 dello Schema di Convenzione.</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b/>
          <w:sz w:val="24"/>
          <w:szCs w:val="24"/>
        </w:rPr>
      </w:pPr>
      <w:r>
        <w:rPr>
          <w:rFonts w:ascii="Times New Roman" w:hAnsi="Times New Roman"/>
          <w:b/>
          <w:sz w:val="24"/>
          <w:szCs w:val="24"/>
        </w:rPr>
        <w:t>Attivazione strumenti di incasso evoluti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Su richiesta dell’Istituto il Gestore dovrà attivare il/i seguente/i strumento/i evoluto/i di incasso, nei tempi e modalità concordate con il Dirigente Scolastico e il Direttore dei Servizi Generali ed Amministrativi:</w:t>
      </w:r>
    </w:p>
    <w:p w:rsidR="00D173D4" w:rsidRDefault="00D173D4">
      <w:pPr>
        <w:pStyle w:val="Paragrafoelenco1"/>
        <w:numPr>
          <w:ilvl w:val="0"/>
          <w:numId w:val="12"/>
        </w:numPr>
        <w:spacing w:before="120" w:after="120" w:line="360" w:lineRule="auto"/>
        <w:ind w:left="567"/>
        <w:jc w:val="both"/>
        <w:rPr>
          <w:rFonts w:ascii="Times New Roman" w:hAnsi="Times New Roman"/>
          <w:sz w:val="24"/>
          <w:szCs w:val="24"/>
        </w:rPr>
      </w:pPr>
      <w:r>
        <w:rPr>
          <w:rFonts w:ascii="Times New Roman" w:hAnsi="Times New Roman"/>
          <w:sz w:val="24"/>
          <w:szCs w:val="24"/>
        </w:rPr>
        <w:t>MAV (pagamento Mediante Avviso) bancario e postale;</w:t>
      </w:r>
    </w:p>
    <w:p w:rsidR="00D173D4" w:rsidRDefault="00D173D4">
      <w:pPr>
        <w:pStyle w:val="Paragrafoelenco1"/>
        <w:numPr>
          <w:ilvl w:val="0"/>
          <w:numId w:val="12"/>
        </w:numPr>
        <w:spacing w:before="120" w:after="120" w:line="360" w:lineRule="auto"/>
        <w:ind w:left="567"/>
        <w:jc w:val="both"/>
        <w:rPr>
          <w:rFonts w:ascii="Times New Roman" w:hAnsi="Times New Roman"/>
          <w:sz w:val="24"/>
          <w:szCs w:val="24"/>
        </w:rPr>
      </w:pPr>
      <w:r>
        <w:rPr>
          <w:rFonts w:ascii="Times New Roman" w:hAnsi="Times New Roman"/>
          <w:sz w:val="24"/>
          <w:szCs w:val="24"/>
        </w:rPr>
        <w:t>RID (Rapporto Interbancario Diretto) bancario e postale;</w:t>
      </w:r>
    </w:p>
    <w:p w:rsidR="00D173D4" w:rsidRDefault="00D173D4">
      <w:pPr>
        <w:pStyle w:val="Paragrafoelenco1"/>
        <w:numPr>
          <w:ilvl w:val="0"/>
          <w:numId w:val="12"/>
        </w:numPr>
        <w:spacing w:before="120" w:after="120" w:line="360" w:lineRule="auto"/>
        <w:ind w:left="567"/>
        <w:jc w:val="both"/>
        <w:rPr>
          <w:rFonts w:ascii="Times New Roman" w:hAnsi="Times New Roman"/>
          <w:sz w:val="24"/>
          <w:szCs w:val="24"/>
        </w:rPr>
      </w:pPr>
      <w:r>
        <w:rPr>
          <w:rFonts w:ascii="Times New Roman" w:hAnsi="Times New Roman"/>
          <w:sz w:val="24"/>
          <w:szCs w:val="24"/>
        </w:rPr>
        <w:t>RIBA (ricevuta bancaria) e incasso domiciliato;</w:t>
      </w:r>
    </w:p>
    <w:p w:rsidR="00D173D4" w:rsidRDefault="00D173D4">
      <w:pPr>
        <w:pStyle w:val="Paragrafoelenco1"/>
        <w:numPr>
          <w:ilvl w:val="0"/>
          <w:numId w:val="12"/>
        </w:numPr>
        <w:spacing w:before="120" w:after="120" w:line="360" w:lineRule="auto"/>
        <w:ind w:left="567"/>
        <w:jc w:val="both"/>
        <w:rPr>
          <w:rFonts w:ascii="Times New Roman" w:hAnsi="Times New Roman"/>
          <w:sz w:val="24"/>
          <w:szCs w:val="24"/>
        </w:rPr>
      </w:pPr>
      <w:r>
        <w:rPr>
          <w:rFonts w:ascii="Times New Roman" w:hAnsi="Times New Roman"/>
          <w:sz w:val="24"/>
          <w:szCs w:val="24"/>
        </w:rPr>
        <w:t>bollettino;</w:t>
      </w:r>
    </w:p>
    <w:p w:rsidR="00D173D4" w:rsidRDefault="00D173D4">
      <w:pPr>
        <w:pStyle w:val="Paragrafoelenco1"/>
        <w:numPr>
          <w:ilvl w:val="0"/>
          <w:numId w:val="12"/>
        </w:numPr>
        <w:spacing w:before="120" w:after="120" w:line="360" w:lineRule="auto"/>
        <w:ind w:left="567"/>
        <w:jc w:val="both"/>
        <w:rPr>
          <w:rFonts w:ascii="Times New Roman" w:hAnsi="Times New Roman"/>
          <w:sz w:val="24"/>
          <w:szCs w:val="24"/>
        </w:rPr>
      </w:pPr>
      <w:proofErr w:type="spellStart"/>
      <w:r>
        <w:rPr>
          <w:rFonts w:ascii="Times New Roman" w:hAnsi="Times New Roman"/>
          <w:i/>
          <w:sz w:val="24"/>
          <w:szCs w:val="24"/>
        </w:rPr>
        <w:t>acquiring</w:t>
      </w:r>
      <w:proofErr w:type="spellEnd"/>
      <w:r>
        <w:rPr>
          <w:rFonts w:ascii="Times New Roman" w:hAnsi="Times New Roman"/>
          <w:sz w:val="24"/>
          <w:szCs w:val="24"/>
        </w:rPr>
        <w:t xml:space="preserve"> (POS fisico o virtuale);</w:t>
      </w:r>
    </w:p>
    <w:p w:rsidR="00D173D4" w:rsidRDefault="00D173D4">
      <w:pPr>
        <w:pStyle w:val="Paragrafoelenco1"/>
        <w:numPr>
          <w:ilvl w:val="0"/>
          <w:numId w:val="12"/>
        </w:numPr>
        <w:spacing w:before="120" w:after="120" w:line="360" w:lineRule="auto"/>
        <w:ind w:left="567"/>
        <w:jc w:val="both"/>
        <w:rPr>
          <w:rFonts w:ascii="Times New Roman" w:hAnsi="Times New Roman"/>
          <w:sz w:val="24"/>
          <w:szCs w:val="24"/>
        </w:rPr>
      </w:pPr>
      <w:r>
        <w:rPr>
          <w:rFonts w:ascii="Times New Roman" w:hAnsi="Times New Roman"/>
          <w:sz w:val="24"/>
          <w:szCs w:val="24"/>
        </w:rPr>
        <w:t>altri strumenti di incasso</w:t>
      </w:r>
      <w:r>
        <w:rPr>
          <w:rFonts w:ascii="Times New Roman" w:hAnsi="Times New Roman"/>
          <w:i/>
          <w:sz w:val="24"/>
          <w:szCs w:val="24"/>
        </w:rPr>
        <w:t>.</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lastRenderedPageBreak/>
        <w:t>Tali strumenti sono finalizzati ad ottimizzare e velocizzare la fase di riscossione delle entrate patrimoniali e assicurare la sollecita trasmissione dei dati riferiti all’incasso.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Per ciascuno di tali strumenti, l’Istituto corrisponderà al Gestore un compenso unitario per singola transazione, come indicato in sede di presentazione delle offerte.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Nell’ambito dell’Offerta Tecnica il Gestore dovrà specificare eventuali ulteriori strumenti di incasso che intende mettere a disposizione dell’Istituto, in aggiunta a quelli sopra indicati.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Nel caso di attivazione di POS fisico, il Gestore deve fornire all’Istituto, in comodato d’uso gratuito, una postazione comprensiva di tutto quanto necessario per il corretto funzionamento e utilizzo dello strumento (</w:t>
      </w:r>
      <w:r>
        <w:rPr>
          <w:rFonts w:ascii="Times New Roman" w:hAnsi="Times New Roman"/>
          <w:i/>
          <w:sz w:val="24"/>
          <w:szCs w:val="24"/>
        </w:rPr>
        <w:t>hardware</w:t>
      </w:r>
      <w:r>
        <w:rPr>
          <w:rFonts w:ascii="Times New Roman" w:hAnsi="Times New Roman"/>
          <w:sz w:val="24"/>
          <w:szCs w:val="24"/>
        </w:rPr>
        <w:t xml:space="preserve">, </w:t>
      </w:r>
      <w:r>
        <w:rPr>
          <w:rFonts w:ascii="Times New Roman" w:hAnsi="Times New Roman"/>
          <w:i/>
          <w:sz w:val="24"/>
          <w:szCs w:val="24"/>
        </w:rPr>
        <w:t>software</w:t>
      </w:r>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0"/>
          <w:numId w:val="13"/>
        </w:numPr>
        <w:spacing w:before="120" w:after="120" w:line="360" w:lineRule="auto"/>
        <w:jc w:val="both"/>
        <w:rPr>
          <w:rFonts w:ascii="Times New Roman" w:hAnsi="Times New Roman"/>
          <w:b/>
          <w:sz w:val="24"/>
          <w:szCs w:val="24"/>
        </w:rPr>
      </w:pPr>
      <w:r>
        <w:rPr>
          <w:rFonts w:ascii="Times New Roman" w:hAnsi="Times New Roman"/>
          <w:b/>
          <w:sz w:val="24"/>
          <w:szCs w:val="24"/>
        </w:rPr>
        <w:t>Servizi opzionali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Nell’ambito dell’Offerta Tecnica, in una busta separata chiusa, sigillata e controfirmata, recante la dicitura “Offerta Tecnica per servizi opzionali”, il Gestore dovrà inserire un documento illustrativo di eventuali servizi che intende erogare a favore dell’Istituto ovvero, se del caso, di soggetti ad esso riconducibili (</w:t>
      </w:r>
      <w:proofErr w:type="spellStart"/>
      <w:r>
        <w:rPr>
          <w:rFonts w:ascii="Times New Roman" w:hAnsi="Times New Roman"/>
          <w:sz w:val="24"/>
          <w:szCs w:val="24"/>
        </w:rPr>
        <w:t>es</w:t>
      </w:r>
      <w:proofErr w:type="spellEnd"/>
      <w:r>
        <w:rPr>
          <w:rFonts w:ascii="Times New Roman" w:hAnsi="Times New Roman"/>
          <w:sz w:val="24"/>
          <w:szCs w:val="24"/>
        </w:rPr>
        <w:t>: dipendenti, fornitori, studenti, etc.).</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Tali servizi potranno essere attivati esclusivamente su espressa richiesta dell’Istituto ovvero, se del caso, dei suddetti soggetti. I servizi descritti dal Gestore non daranno luogo all’attribuzione di alcun punteggio di merito tecnico ed economico ma rappresentano un impegno per il Gestore.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L’Istituto si impegna a mettere in atto strumenti ed azioni di comunicazione finalizzate a rendere noto ai soggetti interessati prodotti e condizioni offerti dal Gestore. </w:t>
      </w:r>
    </w:p>
    <w:p w:rsidR="00D173D4" w:rsidRDefault="00D173D4">
      <w:pPr>
        <w:spacing w:before="120" w:after="120" w:line="360" w:lineRule="auto"/>
        <w:jc w:val="both"/>
        <w:rPr>
          <w:rFonts w:ascii="Times New Roman" w:hAnsi="Times New Roman"/>
          <w:b/>
          <w:sz w:val="24"/>
          <w:szCs w:val="24"/>
        </w:rPr>
      </w:pPr>
    </w:p>
    <w:p w:rsidR="00D173D4" w:rsidRDefault="00D173D4">
      <w:pPr>
        <w:pStyle w:val="Paragrafoelenco1"/>
        <w:numPr>
          <w:ilvl w:val="1"/>
          <w:numId w:val="13"/>
        </w:numPr>
        <w:spacing w:before="120" w:after="120" w:line="360" w:lineRule="auto"/>
        <w:jc w:val="both"/>
        <w:rPr>
          <w:rFonts w:ascii="Times New Roman" w:hAnsi="Times New Roman"/>
          <w:sz w:val="24"/>
          <w:szCs w:val="24"/>
        </w:rPr>
      </w:pPr>
      <w:r>
        <w:rPr>
          <w:rFonts w:ascii="Times New Roman" w:hAnsi="Times New Roman"/>
          <w:b/>
          <w:sz w:val="24"/>
          <w:szCs w:val="24"/>
        </w:rPr>
        <w:t xml:space="preserve">Realizzazione progetti formativi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In conformità a quanto previsto dagli accordi intercorsi fra ABI e Poste Italiane, il Gestore potrà supportare l’Istituto, sia dal punto di vista organizzativo sia da quello finanziario, nella realizzazione di progetti formativi finalizzati a fornire esperienze tecniche, aggiornamenti operativi e confronti operativi. Tali progetti potranno essere indirizzati anche al Dirigenti Scolastico, al Direttore dei Servizi Generali e Amministrativi e al personale amministrativo dell’Istituto. Il Gestore dovrà specificare le risorse che intende mettere a disposizione dell’Istituto, in termini organizzativi e finanziari.</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1"/>
          <w:numId w:val="13"/>
        </w:numPr>
        <w:spacing w:before="120" w:after="120" w:line="360" w:lineRule="auto"/>
        <w:jc w:val="both"/>
        <w:rPr>
          <w:rFonts w:ascii="Times New Roman" w:hAnsi="Times New Roman"/>
          <w:b/>
          <w:sz w:val="24"/>
          <w:szCs w:val="24"/>
        </w:rPr>
      </w:pPr>
      <w:r>
        <w:rPr>
          <w:rFonts w:ascii="Times New Roman" w:hAnsi="Times New Roman"/>
          <w:b/>
          <w:sz w:val="24"/>
          <w:szCs w:val="24"/>
        </w:rPr>
        <w:t xml:space="preserve">Offerta di prodotti finanziari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potrà proporre, nell’ambito dell’Offerta Tecnica, appositi prodotti finanziari riservati ai soggetti riconducibili all’Istituto (</w:t>
      </w:r>
      <w:proofErr w:type="spellStart"/>
      <w:r>
        <w:rPr>
          <w:rFonts w:ascii="Times New Roman" w:hAnsi="Times New Roman"/>
          <w:sz w:val="24"/>
          <w:szCs w:val="24"/>
        </w:rPr>
        <w:t>es</w:t>
      </w:r>
      <w:proofErr w:type="spellEnd"/>
      <w:r>
        <w:rPr>
          <w:rFonts w:ascii="Times New Roman" w:hAnsi="Times New Roman"/>
          <w:sz w:val="24"/>
          <w:szCs w:val="24"/>
        </w:rPr>
        <w:t>: dipendenti, fornitori, studenti, etc.), anche differenziati per categorie omogenee.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Per ciascun prodotto finanziario offerto il Gestore dovrà specificare le condizioni economiche cui lo stesso è assoggettato e le caratteristiche migliorative rispetto alle condizioni medie di mercato per il medesimo prodotto.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 </w:t>
      </w:r>
    </w:p>
    <w:p w:rsidR="00D173D4" w:rsidRDefault="00D173D4">
      <w:pPr>
        <w:pStyle w:val="Paragrafoelenco1"/>
        <w:numPr>
          <w:ilvl w:val="1"/>
          <w:numId w:val="13"/>
        </w:numPr>
        <w:spacing w:before="120" w:after="120" w:line="360" w:lineRule="auto"/>
        <w:jc w:val="both"/>
        <w:rPr>
          <w:rFonts w:ascii="Times New Roman" w:hAnsi="Times New Roman"/>
          <w:b/>
          <w:sz w:val="24"/>
          <w:szCs w:val="24"/>
        </w:rPr>
      </w:pPr>
      <w:r>
        <w:rPr>
          <w:rFonts w:ascii="Times New Roman" w:hAnsi="Times New Roman"/>
          <w:b/>
          <w:sz w:val="24"/>
          <w:szCs w:val="24"/>
        </w:rPr>
        <w:t>Sponsorizzazione di progetti didattici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può proporre la sponsorizzazione di progetti volti alla didattica o all’organizzazione dell’Istituzione Scolastica, con particolare attenzione al miglioramento dell’offerta complessiva verso gli studenti. Il Gestore, nell’ambito dell’Offerta Tecnica dovrà quindi indicare, sia dal punto di vista organizzativo che finanziario, numero e tipologia di progetti che intende realizzare, evidenziando le risorse che saranno impiegate per la realizzazione degli stessi.</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0"/>
          <w:numId w:val="13"/>
        </w:numPr>
        <w:spacing w:before="120" w:after="120" w:line="360" w:lineRule="auto"/>
        <w:jc w:val="both"/>
        <w:rPr>
          <w:rFonts w:ascii="Times New Roman" w:hAnsi="Times New Roman"/>
          <w:b/>
          <w:sz w:val="24"/>
          <w:szCs w:val="24"/>
        </w:rPr>
      </w:pPr>
      <w:r>
        <w:rPr>
          <w:rFonts w:ascii="Times New Roman" w:hAnsi="Times New Roman"/>
          <w:b/>
          <w:sz w:val="24"/>
          <w:szCs w:val="24"/>
        </w:rPr>
        <w:t>Criterio selettivo delle offerte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L’appalto sarà aggiudicato mediante il criterio selettivo dell’offerta economicamente più vantaggiosa ai sensi dell’art. 83 del </w:t>
      </w:r>
      <w:proofErr w:type="spellStart"/>
      <w:r>
        <w:rPr>
          <w:rFonts w:ascii="Times New Roman" w:hAnsi="Times New Roman"/>
          <w:sz w:val="24"/>
          <w:szCs w:val="24"/>
        </w:rPr>
        <w:t>D.Lgs</w:t>
      </w:r>
      <w:proofErr w:type="spellEnd"/>
      <w:r>
        <w:rPr>
          <w:rFonts w:ascii="Times New Roman" w:hAnsi="Times New Roman"/>
          <w:sz w:val="24"/>
          <w:szCs w:val="24"/>
        </w:rPr>
        <w:t xml:space="preserve"> 163 del 2006.</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La graduatoria verrà formata in ragione dei criteri di valutazione di seguito stabiliti:</w:t>
      </w:r>
    </w:p>
    <w:tbl>
      <w:tblPr>
        <w:tblW w:w="7445"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9"/>
        <w:gridCol w:w="2376"/>
      </w:tblGrid>
      <w:tr w:rsidR="00D173D4">
        <w:trPr>
          <w:trHeight w:val="20"/>
          <w:jc w:val="center"/>
        </w:trPr>
        <w:tc>
          <w:tcPr>
            <w:tcW w:w="5069" w:type="dxa"/>
            <w:shd w:val="clear" w:color="auto" w:fill="D9D9D9"/>
            <w:vAlign w:val="center"/>
          </w:tcPr>
          <w:p w:rsidR="00D173D4" w:rsidRDefault="00D173D4">
            <w:pPr>
              <w:spacing w:before="120" w:after="120" w:line="360" w:lineRule="auto"/>
              <w:jc w:val="both"/>
              <w:rPr>
                <w:rFonts w:ascii="Times New Roman" w:hAnsi="Times New Roman"/>
                <w:b/>
                <w:sz w:val="24"/>
                <w:szCs w:val="24"/>
              </w:rPr>
            </w:pPr>
            <w:r>
              <w:rPr>
                <w:rFonts w:ascii="Times New Roman" w:hAnsi="Times New Roman"/>
                <w:b/>
                <w:sz w:val="24"/>
                <w:szCs w:val="24"/>
              </w:rPr>
              <w:t>Criteri di valutazione</w:t>
            </w:r>
          </w:p>
        </w:tc>
        <w:tc>
          <w:tcPr>
            <w:tcW w:w="2376" w:type="dxa"/>
            <w:shd w:val="clear" w:color="auto" w:fill="D9D9D9"/>
          </w:tcPr>
          <w:p w:rsidR="00D173D4" w:rsidRDefault="00D173D4">
            <w:pPr>
              <w:spacing w:before="120" w:after="120" w:line="360" w:lineRule="auto"/>
              <w:jc w:val="center"/>
              <w:rPr>
                <w:rFonts w:ascii="Times New Roman" w:hAnsi="Times New Roman"/>
                <w:b/>
                <w:sz w:val="24"/>
                <w:szCs w:val="24"/>
              </w:rPr>
            </w:pPr>
            <w:r>
              <w:rPr>
                <w:rFonts w:ascii="Times New Roman" w:hAnsi="Times New Roman"/>
                <w:b/>
                <w:sz w:val="24"/>
                <w:szCs w:val="24"/>
              </w:rPr>
              <w:t>Punteggio massimo</w:t>
            </w:r>
          </w:p>
        </w:tc>
      </w:tr>
      <w:tr w:rsidR="00D173D4">
        <w:trPr>
          <w:trHeight w:val="113"/>
          <w:jc w:val="center"/>
        </w:trPr>
        <w:tc>
          <w:tcPr>
            <w:tcW w:w="5069" w:type="dxa"/>
          </w:tcPr>
          <w:p w:rsidR="00D173D4" w:rsidRDefault="00D173D4">
            <w:pPr>
              <w:spacing w:before="120" w:after="120" w:line="360" w:lineRule="auto"/>
              <w:jc w:val="both"/>
              <w:rPr>
                <w:rFonts w:ascii="Times New Roman" w:hAnsi="Times New Roman"/>
                <w:i/>
                <w:sz w:val="24"/>
                <w:szCs w:val="24"/>
              </w:rPr>
            </w:pPr>
            <w:r>
              <w:rPr>
                <w:rFonts w:ascii="Times New Roman" w:hAnsi="Times New Roman"/>
                <w:i/>
                <w:sz w:val="24"/>
                <w:szCs w:val="24"/>
              </w:rPr>
              <w:t>Offerta Tecnica (Tabella A)</w:t>
            </w:r>
          </w:p>
        </w:tc>
        <w:tc>
          <w:tcPr>
            <w:tcW w:w="2376" w:type="dxa"/>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[10]</w:t>
            </w:r>
          </w:p>
        </w:tc>
      </w:tr>
      <w:tr w:rsidR="00D173D4">
        <w:trPr>
          <w:trHeight w:val="113"/>
          <w:jc w:val="center"/>
        </w:trPr>
        <w:tc>
          <w:tcPr>
            <w:tcW w:w="5069" w:type="dxa"/>
          </w:tcPr>
          <w:p w:rsidR="00D173D4" w:rsidRDefault="00D173D4">
            <w:pPr>
              <w:spacing w:before="120" w:after="120" w:line="360" w:lineRule="auto"/>
              <w:jc w:val="both"/>
              <w:rPr>
                <w:rFonts w:ascii="Times New Roman" w:hAnsi="Times New Roman"/>
                <w:i/>
                <w:sz w:val="24"/>
                <w:szCs w:val="24"/>
              </w:rPr>
            </w:pPr>
            <w:r>
              <w:rPr>
                <w:rFonts w:ascii="Times New Roman" w:hAnsi="Times New Roman"/>
                <w:i/>
                <w:sz w:val="24"/>
                <w:szCs w:val="24"/>
              </w:rPr>
              <w:t>Offerta Economica (Tabella B)</w:t>
            </w:r>
          </w:p>
        </w:tc>
        <w:tc>
          <w:tcPr>
            <w:tcW w:w="2376" w:type="dxa"/>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[90]</w:t>
            </w:r>
          </w:p>
        </w:tc>
      </w:tr>
      <w:tr w:rsidR="00D173D4">
        <w:trPr>
          <w:trHeight w:val="113"/>
          <w:jc w:val="center"/>
        </w:trPr>
        <w:tc>
          <w:tcPr>
            <w:tcW w:w="5069" w:type="dxa"/>
            <w:shd w:val="clear" w:color="auto" w:fill="D9D9D9"/>
          </w:tcPr>
          <w:p w:rsidR="00D173D4" w:rsidRDefault="00D173D4">
            <w:pPr>
              <w:spacing w:before="120" w:after="120" w:line="360" w:lineRule="auto"/>
              <w:jc w:val="both"/>
              <w:rPr>
                <w:rFonts w:ascii="Times New Roman" w:hAnsi="Times New Roman"/>
                <w:b/>
                <w:sz w:val="24"/>
                <w:szCs w:val="24"/>
              </w:rPr>
            </w:pPr>
            <w:r>
              <w:rPr>
                <w:rFonts w:ascii="Times New Roman" w:hAnsi="Times New Roman"/>
                <w:b/>
                <w:sz w:val="24"/>
                <w:szCs w:val="24"/>
              </w:rPr>
              <w:t>PUNTEGGIO TOTALE</w:t>
            </w:r>
          </w:p>
        </w:tc>
        <w:tc>
          <w:tcPr>
            <w:tcW w:w="2376" w:type="dxa"/>
            <w:shd w:val="clear" w:color="auto" w:fill="D9D9D9"/>
          </w:tcPr>
          <w:p w:rsidR="00D173D4" w:rsidRDefault="00D173D4">
            <w:pPr>
              <w:spacing w:before="120" w:after="120" w:line="360" w:lineRule="auto"/>
              <w:jc w:val="center"/>
              <w:rPr>
                <w:rFonts w:ascii="Times New Roman" w:hAnsi="Times New Roman"/>
                <w:b/>
                <w:sz w:val="24"/>
                <w:szCs w:val="24"/>
              </w:rPr>
            </w:pPr>
            <w:r>
              <w:rPr>
                <w:rFonts w:ascii="Times New Roman" w:hAnsi="Times New Roman"/>
                <w:b/>
                <w:sz w:val="24"/>
                <w:szCs w:val="24"/>
              </w:rPr>
              <w:t>100</w:t>
            </w:r>
          </w:p>
        </w:tc>
      </w:tr>
    </w:tbl>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1"/>
          <w:numId w:val="13"/>
        </w:numPr>
        <w:spacing w:before="120" w:after="120" w:line="360" w:lineRule="auto"/>
        <w:jc w:val="both"/>
        <w:rPr>
          <w:rFonts w:ascii="Times New Roman" w:hAnsi="Times New Roman"/>
          <w:b/>
          <w:sz w:val="24"/>
          <w:szCs w:val="24"/>
        </w:rPr>
      </w:pPr>
      <w:r>
        <w:rPr>
          <w:rFonts w:ascii="Times New Roman" w:hAnsi="Times New Roman"/>
          <w:b/>
          <w:sz w:val="24"/>
          <w:szCs w:val="24"/>
        </w:rPr>
        <w:t>Attribuzione MERITO TECNICO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lastRenderedPageBreak/>
        <w:t>Il punteggio di merito tecnico verrà attribuito sulla base dei seguenti criteri:</w:t>
      </w:r>
    </w:p>
    <w:tbl>
      <w:tblPr>
        <w:tblW w:w="9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7775"/>
        <w:gridCol w:w="1303"/>
      </w:tblGrid>
      <w:tr w:rsidR="00D173D4">
        <w:trPr>
          <w:trHeight w:val="959"/>
          <w:tblHeader/>
        </w:trPr>
        <w:tc>
          <w:tcPr>
            <w:tcW w:w="8351" w:type="dxa"/>
            <w:gridSpan w:val="2"/>
            <w:shd w:val="clear" w:color="auto" w:fill="D9D9D9"/>
            <w:vAlign w:val="center"/>
          </w:tcPr>
          <w:p w:rsidR="00D173D4" w:rsidRDefault="00D173D4">
            <w:pPr>
              <w:spacing w:before="120" w:after="120" w:line="360" w:lineRule="auto"/>
              <w:jc w:val="center"/>
              <w:rPr>
                <w:rFonts w:ascii="Times New Roman" w:hAnsi="Times New Roman"/>
                <w:b/>
                <w:i/>
                <w:sz w:val="24"/>
                <w:szCs w:val="24"/>
              </w:rPr>
            </w:pPr>
            <w:r>
              <w:rPr>
                <w:rFonts w:ascii="Times New Roman" w:hAnsi="Times New Roman"/>
                <w:b/>
                <w:sz w:val="24"/>
                <w:szCs w:val="24"/>
              </w:rPr>
              <w:t>MERITO TECNICO (Tabella A)</w:t>
            </w:r>
          </w:p>
        </w:tc>
        <w:tc>
          <w:tcPr>
            <w:tcW w:w="1303" w:type="dxa"/>
            <w:shd w:val="clear" w:color="auto" w:fill="D9D9D9"/>
            <w:vAlign w:val="center"/>
          </w:tcPr>
          <w:p w:rsidR="00D173D4" w:rsidRDefault="00D173D4">
            <w:pPr>
              <w:spacing w:before="120" w:after="120" w:line="360" w:lineRule="auto"/>
              <w:jc w:val="center"/>
              <w:rPr>
                <w:rFonts w:ascii="Times New Roman" w:hAnsi="Times New Roman"/>
                <w:b/>
                <w:i/>
                <w:sz w:val="24"/>
                <w:szCs w:val="24"/>
              </w:rPr>
            </w:pPr>
            <w:r>
              <w:rPr>
                <w:rFonts w:ascii="Times New Roman" w:hAnsi="Times New Roman"/>
                <w:b/>
                <w:i/>
                <w:sz w:val="24"/>
                <w:szCs w:val="24"/>
              </w:rPr>
              <w:t>Punteggio massimo</w:t>
            </w:r>
          </w:p>
        </w:tc>
      </w:tr>
      <w:tr w:rsidR="00D173D4">
        <w:tc>
          <w:tcPr>
            <w:tcW w:w="576"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1</w:t>
            </w:r>
          </w:p>
        </w:tc>
        <w:tc>
          <w:tcPr>
            <w:tcW w:w="7775"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Servizi aggiuntivi all’utilizzo dello strumento OIL (par. 2)</w:t>
            </w:r>
          </w:p>
        </w:tc>
        <w:tc>
          <w:tcPr>
            <w:tcW w:w="1303"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c>
          <w:tcPr>
            <w:tcW w:w="576"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2</w:t>
            </w:r>
          </w:p>
        </w:tc>
        <w:tc>
          <w:tcPr>
            <w:tcW w:w="7775"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Servizi aggiuntivi per il miglioramento dei processi e degli strumenti di gestione amministrativa, contabile ed organizzativa dell’Istituto (</w:t>
            </w:r>
            <w:proofErr w:type="spellStart"/>
            <w:r>
              <w:rPr>
                <w:rFonts w:ascii="Times New Roman" w:hAnsi="Times New Roman"/>
                <w:i/>
                <w:sz w:val="24"/>
                <w:szCs w:val="24"/>
              </w:rPr>
              <w:t>es</w:t>
            </w:r>
            <w:proofErr w:type="spellEnd"/>
            <w:r>
              <w:rPr>
                <w:rFonts w:ascii="Times New Roman" w:hAnsi="Times New Roman"/>
                <w:i/>
                <w:sz w:val="24"/>
                <w:szCs w:val="24"/>
              </w:rPr>
              <w:t>: fornitura di assistenza, formazione e strumenti a supporto) (par. 2)</w:t>
            </w:r>
          </w:p>
        </w:tc>
        <w:tc>
          <w:tcPr>
            <w:tcW w:w="1303"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[3]</w:t>
            </w:r>
          </w:p>
        </w:tc>
      </w:tr>
      <w:tr w:rsidR="00D173D4">
        <w:tc>
          <w:tcPr>
            <w:tcW w:w="576"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3</w:t>
            </w:r>
          </w:p>
        </w:tc>
        <w:tc>
          <w:tcPr>
            <w:tcW w:w="7775"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Qualità delle soluzioni organizzative proposte in riferimento ai servizi di consulenza eventualmente richiesti per i servizi di gestione della liquidità (2.4)</w:t>
            </w:r>
          </w:p>
        </w:tc>
        <w:tc>
          <w:tcPr>
            <w:tcW w:w="1303"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[1]</w:t>
            </w:r>
          </w:p>
        </w:tc>
      </w:tr>
      <w:tr w:rsidR="00D173D4">
        <w:tc>
          <w:tcPr>
            <w:tcW w:w="576"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4</w:t>
            </w:r>
          </w:p>
        </w:tc>
        <w:tc>
          <w:tcPr>
            <w:tcW w:w="7775" w:type="dxa"/>
            <w:vAlign w:val="center"/>
          </w:tcPr>
          <w:p w:rsidR="00D173D4" w:rsidRDefault="00D173D4">
            <w:pPr>
              <w:spacing w:after="120" w:line="360" w:lineRule="auto"/>
              <w:rPr>
                <w:rFonts w:ascii="Times New Roman" w:hAnsi="Times New Roman"/>
                <w:b/>
                <w:i/>
                <w:iCs/>
                <w:color w:val="000000"/>
                <w:sz w:val="24"/>
                <w:szCs w:val="24"/>
              </w:rPr>
            </w:pPr>
            <w:r>
              <w:rPr>
                <w:rFonts w:ascii="Times New Roman" w:hAnsi="Times New Roman"/>
                <w:i/>
                <w:sz w:val="24"/>
                <w:szCs w:val="24"/>
              </w:rPr>
              <w:t>Percentuale di trasferimento della dotazione ordinaria per apertura di credito finalizzata alla realizzazione dei progetti formativi (par. 2.6)</w:t>
            </w:r>
          </w:p>
        </w:tc>
        <w:tc>
          <w:tcPr>
            <w:tcW w:w="1303" w:type="dxa"/>
            <w:vAlign w:val="center"/>
          </w:tcPr>
          <w:p w:rsidR="00D173D4" w:rsidRDefault="00D173D4">
            <w:pPr>
              <w:spacing w:after="120" w:line="360" w:lineRule="auto"/>
              <w:jc w:val="center"/>
              <w:rPr>
                <w:rFonts w:ascii="Times New Roman" w:hAnsi="Times New Roman"/>
                <w:b/>
                <w:i/>
                <w:iCs/>
                <w:color w:val="000000"/>
                <w:sz w:val="24"/>
                <w:szCs w:val="24"/>
              </w:rPr>
            </w:pPr>
            <w:r>
              <w:rPr>
                <w:rFonts w:ascii="Times New Roman" w:hAnsi="Times New Roman"/>
                <w:b/>
                <w:i/>
                <w:sz w:val="24"/>
                <w:szCs w:val="24"/>
              </w:rPr>
              <w:t>[3]</w:t>
            </w:r>
          </w:p>
        </w:tc>
      </w:tr>
      <w:tr w:rsidR="00D173D4">
        <w:tc>
          <w:tcPr>
            <w:tcW w:w="576"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5</w:t>
            </w:r>
          </w:p>
        </w:tc>
        <w:tc>
          <w:tcPr>
            <w:tcW w:w="7775"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Ulteriori servizi di incasso in aggiunta a quelli già previsti al par. 2.8</w:t>
            </w:r>
          </w:p>
        </w:tc>
        <w:tc>
          <w:tcPr>
            <w:tcW w:w="1303"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[1]</w:t>
            </w:r>
          </w:p>
        </w:tc>
      </w:tr>
      <w:tr w:rsidR="00D173D4">
        <w:tc>
          <w:tcPr>
            <w:tcW w:w="8351" w:type="dxa"/>
            <w:gridSpan w:val="2"/>
            <w:shd w:val="clear" w:color="auto" w:fill="D9D9D9"/>
          </w:tcPr>
          <w:p w:rsidR="00D173D4" w:rsidRDefault="00D173D4">
            <w:pPr>
              <w:spacing w:before="120" w:after="120" w:line="360" w:lineRule="auto"/>
              <w:jc w:val="center"/>
              <w:rPr>
                <w:rFonts w:ascii="Times New Roman" w:hAnsi="Times New Roman"/>
                <w:b/>
                <w:sz w:val="24"/>
                <w:szCs w:val="24"/>
              </w:rPr>
            </w:pPr>
            <w:r>
              <w:rPr>
                <w:rFonts w:ascii="Times New Roman" w:hAnsi="Times New Roman"/>
                <w:b/>
                <w:sz w:val="24"/>
                <w:szCs w:val="24"/>
              </w:rPr>
              <w:t>PUNTEGGIO TOTALE</w:t>
            </w:r>
          </w:p>
        </w:tc>
        <w:tc>
          <w:tcPr>
            <w:tcW w:w="1303" w:type="dxa"/>
            <w:shd w:val="clear" w:color="auto" w:fill="D9D9D9"/>
          </w:tcPr>
          <w:p w:rsidR="00D173D4" w:rsidRDefault="00D173D4">
            <w:pPr>
              <w:spacing w:before="120" w:after="120" w:line="360" w:lineRule="auto"/>
              <w:jc w:val="center"/>
              <w:rPr>
                <w:rFonts w:ascii="Times New Roman" w:hAnsi="Times New Roman"/>
                <w:b/>
                <w:sz w:val="24"/>
                <w:szCs w:val="24"/>
              </w:rPr>
            </w:pPr>
            <w:r>
              <w:rPr>
                <w:rFonts w:ascii="Times New Roman" w:hAnsi="Times New Roman"/>
                <w:b/>
                <w:i/>
                <w:sz w:val="24"/>
                <w:szCs w:val="24"/>
              </w:rPr>
              <w:t>[10]</w:t>
            </w:r>
          </w:p>
        </w:tc>
      </w:tr>
    </w:tbl>
    <w:p w:rsidR="00D173D4" w:rsidRDefault="00D173D4">
      <w:pPr>
        <w:spacing w:before="120" w:after="120" w:line="360" w:lineRule="auto"/>
        <w:jc w:val="both"/>
        <w:rPr>
          <w:rFonts w:ascii="Times New Roman" w:hAnsi="Times New Roman"/>
          <w:sz w:val="24"/>
          <w:szCs w:val="24"/>
        </w:rPr>
      </w:pP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merito tecnico di cui ai Punti 1, 2, 3 e 5 - “PT</w:t>
      </w:r>
      <w:r>
        <w:rPr>
          <w:rFonts w:ascii="Times New Roman" w:hAnsi="Times New Roman"/>
          <w:sz w:val="24"/>
          <w:szCs w:val="24"/>
          <w:vertAlign w:val="subscript"/>
        </w:rPr>
        <w:t>1</w:t>
      </w:r>
      <w:r>
        <w:rPr>
          <w:rFonts w:ascii="Times New Roman" w:hAnsi="Times New Roman"/>
          <w:sz w:val="24"/>
          <w:szCs w:val="24"/>
        </w:rPr>
        <w:t>”, “PT</w:t>
      </w:r>
      <w:r>
        <w:rPr>
          <w:rFonts w:ascii="Times New Roman" w:hAnsi="Times New Roman"/>
          <w:sz w:val="24"/>
          <w:szCs w:val="24"/>
          <w:vertAlign w:val="subscript"/>
        </w:rPr>
        <w:t>2</w:t>
      </w:r>
      <w:r>
        <w:rPr>
          <w:rFonts w:ascii="Times New Roman" w:hAnsi="Times New Roman"/>
          <w:sz w:val="24"/>
          <w:szCs w:val="24"/>
        </w:rPr>
        <w:t>”, “PT</w:t>
      </w:r>
      <w:r>
        <w:rPr>
          <w:rFonts w:ascii="Times New Roman" w:hAnsi="Times New Roman"/>
          <w:sz w:val="24"/>
          <w:szCs w:val="24"/>
          <w:vertAlign w:val="subscript"/>
        </w:rPr>
        <w:t>3</w:t>
      </w:r>
      <w:r>
        <w:rPr>
          <w:rFonts w:ascii="Times New Roman" w:hAnsi="Times New Roman"/>
          <w:sz w:val="24"/>
          <w:szCs w:val="24"/>
        </w:rPr>
        <w:t>”, e “PT</w:t>
      </w:r>
      <w:r>
        <w:rPr>
          <w:rFonts w:ascii="Times New Roman" w:hAnsi="Times New Roman"/>
          <w:sz w:val="24"/>
          <w:szCs w:val="24"/>
          <w:vertAlign w:val="subscript"/>
        </w:rPr>
        <w:t>5</w:t>
      </w:r>
      <w:r>
        <w:rPr>
          <w:rFonts w:ascii="Times New Roman" w:hAnsi="Times New Roman"/>
          <w:sz w:val="24"/>
          <w:szCs w:val="24"/>
        </w:rPr>
        <w:t>” – sarà attribuito in ragione del giudizio assegnato alle caratteristiche offerte tra quelle di seguito riportate: “ottimo”, “buono”, “discreto”, “sufficiente”, “insufficiente”.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Ad ogni giudizio corrisponderà l’attribuzione di una differente percentuale di punteggio massimo attribuibile e segnatamente: “ottimo=100%”, “buono=75%”, “discreto=50%”, “sufficiente=25%”, “insufficiente=0%”</w:t>
      </w:r>
    </w:p>
    <w:p w:rsidR="00D173D4" w:rsidRDefault="00D173D4">
      <w:pPr>
        <w:spacing w:before="120" w:after="120" w:line="360" w:lineRule="auto"/>
        <w:jc w:val="both"/>
        <w:rPr>
          <w:rFonts w:ascii="Times New Roman" w:hAnsi="Times New Roman"/>
          <w:sz w:val="24"/>
          <w:szCs w:val="24"/>
        </w:rPr>
      </w:pP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merito tecnico di cui al Punto 4 - “PT</w:t>
      </w:r>
      <w:r>
        <w:rPr>
          <w:rFonts w:ascii="Times New Roman" w:hAnsi="Times New Roman"/>
          <w:sz w:val="24"/>
          <w:szCs w:val="24"/>
          <w:vertAlign w:val="subscript"/>
        </w:rPr>
        <w:t>4</w:t>
      </w:r>
      <w:r>
        <w:rPr>
          <w:rFonts w:ascii="Times New Roman" w:hAnsi="Times New Roman"/>
          <w:sz w:val="24"/>
          <w:szCs w:val="24"/>
        </w:rPr>
        <w:t>” - sarà attribuito sulla base della seguente formula:</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PT</w:t>
      </w:r>
      <w:r>
        <w:rPr>
          <w:rFonts w:ascii="Times New Roman" w:hAnsi="Times New Roman"/>
          <w:sz w:val="24"/>
          <w:szCs w:val="24"/>
          <w:vertAlign w:val="subscript"/>
        </w:rPr>
        <w:t>4</w:t>
      </w:r>
      <w:r>
        <w:rPr>
          <w:rFonts w:ascii="Times New Roman" w:hAnsi="Times New Roman"/>
          <w:sz w:val="24"/>
          <w:szCs w:val="24"/>
        </w:rPr>
        <w:t xml:space="preserve"> = (V </w:t>
      </w:r>
      <w:proofErr w:type="spellStart"/>
      <w:r>
        <w:rPr>
          <w:rFonts w:ascii="Times New Roman" w:hAnsi="Times New Roman"/>
          <w:sz w:val="24"/>
          <w:szCs w:val="24"/>
          <w:vertAlign w:val="subscript"/>
        </w:rPr>
        <w:t>i.esimo</w:t>
      </w:r>
      <w:proofErr w:type="spellEnd"/>
      <w:r>
        <w:rPr>
          <w:rFonts w:ascii="Times New Roman" w:hAnsi="Times New Roman"/>
          <w:sz w:val="24"/>
          <w:szCs w:val="24"/>
        </w:rPr>
        <w:t xml:space="preserve"> / V </w:t>
      </w:r>
      <w:proofErr w:type="spellStart"/>
      <w:r>
        <w:rPr>
          <w:rFonts w:ascii="Times New Roman" w:hAnsi="Times New Roman"/>
          <w:sz w:val="24"/>
          <w:szCs w:val="24"/>
          <w:vertAlign w:val="subscript"/>
        </w:rPr>
        <w:t>max</w:t>
      </w:r>
      <w:proofErr w:type="spellEnd"/>
      <w:r>
        <w:rPr>
          <w:rFonts w:ascii="Times New Roman" w:hAnsi="Times New Roman"/>
          <w:sz w:val="24"/>
          <w:szCs w:val="24"/>
        </w:rPr>
        <w:t>) x [3]</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Dove:</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V </w:t>
      </w:r>
      <w:proofErr w:type="spellStart"/>
      <w:r>
        <w:rPr>
          <w:rFonts w:ascii="Times New Roman" w:hAnsi="Times New Roman"/>
          <w:sz w:val="24"/>
          <w:szCs w:val="24"/>
          <w:vertAlign w:val="subscript"/>
        </w:rPr>
        <w:t>i.esimo</w:t>
      </w:r>
      <w:proofErr w:type="spellEnd"/>
      <w:r>
        <w:rPr>
          <w:rFonts w:ascii="Times New Roman" w:hAnsi="Times New Roman"/>
          <w:sz w:val="24"/>
          <w:szCs w:val="24"/>
        </w:rPr>
        <w:t xml:space="preserve"> = valore offerto dal concorrente </w:t>
      </w:r>
      <w:proofErr w:type="spellStart"/>
      <w:r>
        <w:rPr>
          <w:rFonts w:ascii="Times New Roman" w:hAnsi="Times New Roman"/>
          <w:sz w:val="24"/>
          <w:szCs w:val="24"/>
          <w:vertAlign w:val="subscript"/>
        </w:rPr>
        <w:t>i.esimo</w:t>
      </w:r>
      <w:proofErr w:type="spellEnd"/>
    </w:p>
    <w:p w:rsidR="00D173D4" w:rsidRDefault="00D173D4">
      <w:pPr>
        <w:spacing w:before="120" w:after="240" w:line="240" w:lineRule="auto"/>
        <w:jc w:val="both"/>
        <w:rPr>
          <w:rFonts w:ascii="Times New Roman" w:hAnsi="Times New Roman"/>
          <w:sz w:val="24"/>
          <w:szCs w:val="24"/>
        </w:rPr>
      </w:pPr>
      <w:r>
        <w:rPr>
          <w:rFonts w:ascii="Times New Roman" w:hAnsi="Times New Roman"/>
          <w:sz w:val="24"/>
          <w:szCs w:val="24"/>
        </w:rPr>
        <w:lastRenderedPageBreak/>
        <w:t xml:space="preserve">V </w:t>
      </w:r>
      <w:proofErr w:type="spellStart"/>
      <w:r>
        <w:rPr>
          <w:rFonts w:ascii="Times New Roman" w:hAnsi="Times New Roman"/>
          <w:sz w:val="24"/>
          <w:szCs w:val="24"/>
          <w:vertAlign w:val="subscript"/>
        </w:rPr>
        <w:t>max</w:t>
      </w:r>
      <w:proofErr w:type="spellEnd"/>
      <w:r>
        <w:rPr>
          <w:rFonts w:ascii="Times New Roman" w:hAnsi="Times New Roman"/>
          <w:sz w:val="24"/>
          <w:szCs w:val="24"/>
        </w:rPr>
        <w:tab/>
        <w:t>= valore più alto tra quelli offerti dai concorrenti ammessi alla fase di valutazione delle offerte tecniche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Si precisa che:</w:t>
      </w:r>
    </w:p>
    <w:p w:rsidR="00D173D4" w:rsidRDefault="00D173D4">
      <w:pPr>
        <w:pStyle w:val="Paragrafoelenco1"/>
        <w:numPr>
          <w:ilvl w:val="0"/>
          <w:numId w:val="19"/>
        </w:numPr>
        <w:spacing w:before="120" w:after="120" w:line="360" w:lineRule="auto"/>
        <w:ind w:left="284" w:hanging="284"/>
        <w:jc w:val="both"/>
        <w:rPr>
          <w:rFonts w:ascii="Times New Roman" w:hAnsi="Times New Roman"/>
          <w:sz w:val="24"/>
          <w:szCs w:val="24"/>
        </w:rPr>
      </w:pPr>
      <w:r>
        <w:rPr>
          <w:rFonts w:ascii="Times New Roman" w:hAnsi="Times New Roman"/>
          <w:sz w:val="24"/>
          <w:szCs w:val="24"/>
        </w:rPr>
        <w:t>l’offerta uguale o inferiore al 20% (venti) non determinerà l’attribuzione di alcun punteggio di merito tecnico nonché di merito economico in riferimento al punto 12 della Tabella B.</w:t>
      </w:r>
    </w:p>
    <w:p w:rsidR="00D173D4" w:rsidRDefault="00D173D4">
      <w:pPr>
        <w:pStyle w:val="Paragrafoelenco1"/>
        <w:spacing w:before="120" w:after="120" w:line="360" w:lineRule="auto"/>
        <w:ind w:left="284"/>
        <w:jc w:val="both"/>
        <w:rPr>
          <w:rFonts w:ascii="Times New Roman" w:hAnsi="Times New Roman"/>
          <w:sz w:val="24"/>
          <w:szCs w:val="24"/>
        </w:rPr>
      </w:pPr>
    </w:p>
    <w:p w:rsidR="00D173D4" w:rsidRDefault="00D173D4">
      <w:pPr>
        <w:pStyle w:val="Paragrafoelenco1"/>
        <w:numPr>
          <w:ilvl w:val="1"/>
          <w:numId w:val="13"/>
        </w:numPr>
        <w:spacing w:before="120" w:after="120" w:line="360" w:lineRule="auto"/>
        <w:jc w:val="both"/>
        <w:rPr>
          <w:rFonts w:ascii="Times New Roman" w:hAnsi="Times New Roman"/>
          <w:b/>
          <w:sz w:val="24"/>
          <w:szCs w:val="24"/>
        </w:rPr>
      </w:pPr>
      <w:r>
        <w:rPr>
          <w:rFonts w:ascii="Times New Roman" w:hAnsi="Times New Roman"/>
          <w:b/>
          <w:sz w:val="24"/>
          <w:szCs w:val="24"/>
        </w:rPr>
        <w:t>Attribuzione MERITO ECONOMICO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punteggio di merito economico verrà attribuito sulla base dei seguenti criteri:</w:t>
      </w:r>
    </w:p>
    <w:tbl>
      <w:tblPr>
        <w:tblW w:w="10987"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7907"/>
        <w:gridCol w:w="1312"/>
        <w:gridCol w:w="1312"/>
      </w:tblGrid>
      <w:tr w:rsidR="00D173D4">
        <w:trPr>
          <w:trHeight w:val="639"/>
          <w:tblHeader/>
          <w:jc w:val="center"/>
        </w:trPr>
        <w:tc>
          <w:tcPr>
            <w:tcW w:w="8363" w:type="dxa"/>
            <w:gridSpan w:val="2"/>
            <w:shd w:val="clear" w:color="auto" w:fill="D9D9D9"/>
            <w:vAlign w:val="center"/>
          </w:tcPr>
          <w:p w:rsidR="00D173D4" w:rsidRDefault="00D173D4">
            <w:pPr>
              <w:spacing w:before="120" w:after="120" w:line="360" w:lineRule="auto"/>
              <w:jc w:val="center"/>
              <w:rPr>
                <w:rFonts w:ascii="Times New Roman" w:hAnsi="Times New Roman"/>
                <w:b/>
                <w:sz w:val="24"/>
                <w:szCs w:val="24"/>
              </w:rPr>
            </w:pPr>
            <w:r>
              <w:rPr>
                <w:rFonts w:ascii="Times New Roman" w:hAnsi="Times New Roman"/>
                <w:b/>
                <w:sz w:val="24"/>
                <w:szCs w:val="24"/>
              </w:rPr>
              <w:t>MERITO ECONOMICO (Tabella B)</w:t>
            </w:r>
          </w:p>
        </w:tc>
        <w:tc>
          <w:tcPr>
            <w:tcW w:w="1312" w:type="dxa"/>
            <w:shd w:val="clear" w:color="auto" w:fill="D9D9D9"/>
            <w:vAlign w:val="center"/>
          </w:tcPr>
          <w:p w:rsidR="00D173D4" w:rsidRDefault="00D173D4">
            <w:pPr>
              <w:spacing w:after="120" w:line="360" w:lineRule="auto"/>
              <w:jc w:val="center"/>
              <w:rPr>
                <w:rFonts w:ascii="Times New Roman" w:hAnsi="Times New Roman"/>
                <w:i/>
                <w:iCs/>
                <w:color w:val="000000"/>
                <w:sz w:val="24"/>
                <w:szCs w:val="24"/>
              </w:rPr>
            </w:pPr>
            <w:r>
              <w:rPr>
                <w:rFonts w:ascii="Times New Roman" w:hAnsi="Times New Roman"/>
                <w:b/>
                <w:i/>
                <w:sz w:val="24"/>
                <w:szCs w:val="24"/>
              </w:rPr>
              <w:t>Punteggio parziale</w:t>
            </w:r>
          </w:p>
        </w:tc>
        <w:tc>
          <w:tcPr>
            <w:tcW w:w="1312" w:type="dxa"/>
            <w:shd w:val="clear" w:color="auto" w:fill="D9D9D9"/>
            <w:vAlign w:val="center"/>
          </w:tcPr>
          <w:p w:rsidR="00D173D4" w:rsidRDefault="00D173D4">
            <w:pPr>
              <w:spacing w:after="120" w:line="360" w:lineRule="auto"/>
              <w:jc w:val="center"/>
              <w:rPr>
                <w:rFonts w:ascii="Times New Roman" w:hAnsi="Times New Roman"/>
                <w:i/>
                <w:iCs/>
                <w:color w:val="000000"/>
                <w:sz w:val="24"/>
                <w:szCs w:val="24"/>
              </w:rPr>
            </w:pPr>
            <w:r>
              <w:rPr>
                <w:rFonts w:ascii="Times New Roman" w:hAnsi="Times New Roman"/>
                <w:b/>
                <w:i/>
                <w:sz w:val="24"/>
                <w:szCs w:val="24"/>
              </w:rPr>
              <w:t>Punteggio massimo</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sz w:val="24"/>
                <w:szCs w:val="24"/>
              </w:rPr>
            </w:pPr>
            <w:r>
              <w:rPr>
                <w:rFonts w:ascii="Times New Roman" w:hAnsi="Times New Roman"/>
                <w:sz w:val="24"/>
                <w:szCs w:val="24"/>
              </w:rPr>
              <w:t>1</w:t>
            </w:r>
          </w:p>
        </w:tc>
        <w:tc>
          <w:tcPr>
            <w:tcW w:w="9219" w:type="dxa"/>
            <w:gridSpan w:val="2"/>
            <w:vAlign w:val="center"/>
          </w:tcPr>
          <w:p w:rsidR="00D173D4" w:rsidRDefault="00D173D4">
            <w:pPr>
              <w:spacing w:after="120" w:line="360" w:lineRule="auto"/>
              <w:rPr>
                <w:rFonts w:ascii="Times New Roman" w:hAnsi="Times New Roman"/>
                <w:sz w:val="24"/>
                <w:szCs w:val="24"/>
              </w:rPr>
            </w:pPr>
            <w:r>
              <w:rPr>
                <w:rFonts w:ascii="Times New Roman" w:hAnsi="Times New Roman"/>
                <w:i/>
                <w:sz w:val="24"/>
                <w:szCs w:val="24"/>
              </w:rPr>
              <w:t>Compenso e spese annue di gestione e tenuta conto (par. 2)</w:t>
            </w:r>
          </w:p>
        </w:tc>
        <w:tc>
          <w:tcPr>
            <w:tcW w:w="1312" w:type="dxa"/>
            <w:vAlign w:val="center"/>
          </w:tcPr>
          <w:p w:rsidR="00D173D4" w:rsidRDefault="00D173D4">
            <w:pPr>
              <w:spacing w:after="120" w:line="360" w:lineRule="auto"/>
              <w:jc w:val="center"/>
              <w:rPr>
                <w:rFonts w:ascii="Times New Roman" w:hAnsi="Times New Roman"/>
                <w:sz w:val="24"/>
                <w:szCs w:val="24"/>
              </w:rPr>
            </w:pPr>
            <w:r>
              <w:rPr>
                <w:rFonts w:ascii="Times New Roman" w:hAnsi="Times New Roman"/>
                <w:b/>
                <w:i/>
                <w:sz w:val="24"/>
                <w:szCs w:val="24"/>
              </w:rPr>
              <w:t>[25]</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sz w:val="24"/>
                <w:szCs w:val="24"/>
              </w:rPr>
            </w:pPr>
            <w:r>
              <w:rPr>
                <w:rFonts w:ascii="Times New Roman" w:hAnsi="Times New Roman"/>
                <w:sz w:val="24"/>
                <w:szCs w:val="24"/>
              </w:rPr>
              <w:t>2</w:t>
            </w:r>
          </w:p>
        </w:tc>
        <w:tc>
          <w:tcPr>
            <w:tcW w:w="9219" w:type="dxa"/>
            <w:gridSpan w:val="2"/>
            <w:vAlign w:val="center"/>
          </w:tcPr>
          <w:p w:rsidR="00D173D4" w:rsidRDefault="00D173D4">
            <w:pPr>
              <w:spacing w:after="120" w:line="360" w:lineRule="auto"/>
              <w:rPr>
                <w:rFonts w:ascii="Times New Roman" w:hAnsi="Times New Roman"/>
                <w:sz w:val="24"/>
                <w:szCs w:val="24"/>
              </w:rPr>
            </w:pPr>
            <w:r>
              <w:rPr>
                <w:rFonts w:ascii="Times New Roman" w:hAnsi="Times New Roman"/>
                <w:i/>
                <w:sz w:val="24"/>
                <w:szCs w:val="24"/>
              </w:rPr>
              <w:t>Compenso e spese annue per attivazione e gestione servizi di remote banking (par. 2)</w:t>
            </w:r>
          </w:p>
        </w:tc>
        <w:tc>
          <w:tcPr>
            <w:tcW w:w="1312" w:type="dxa"/>
            <w:vAlign w:val="center"/>
          </w:tcPr>
          <w:p w:rsidR="00D173D4" w:rsidRDefault="00D173D4">
            <w:pPr>
              <w:spacing w:after="120" w:line="360" w:lineRule="auto"/>
              <w:jc w:val="center"/>
              <w:rPr>
                <w:rFonts w:ascii="Times New Roman" w:hAnsi="Times New Roman"/>
                <w:sz w:val="24"/>
                <w:szCs w:val="24"/>
              </w:rPr>
            </w:pPr>
            <w:r>
              <w:rPr>
                <w:rFonts w:ascii="Times New Roman" w:hAnsi="Times New Roman"/>
                <w:b/>
                <w:i/>
                <w:sz w:val="24"/>
                <w:szCs w:val="24"/>
              </w:rPr>
              <w:t>[15]</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3</w:t>
            </w:r>
          </w:p>
        </w:tc>
        <w:tc>
          <w:tcPr>
            <w:tcW w:w="9219" w:type="dxa"/>
            <w:gridSpan w:val="2"/>
            <w:vAlign w:val="center"/>
          </w:tcPr>
          <w:p w:rsidR="00D173D4" w:rsidRDefault="00D173D4">
            <w:pPr>
              <w:spacing w:after="120" w:line="360" w:lineRule="auto"/>
              <w:rPr>
                <w:rFonts w:ascii="Times New Roman" w:hAnsi="Times New Roman"/>
                <w:b/>
                <w:i/>
                <w:sz w:val="24"/>
                <w:szCs w:val="24"/>
              </w:rPr>
            </w:pPr>
            <w:r>
              <w:rPr>
                <w:rFonts w:ascii="Times New Roman" w:hAnsi="Times New Roman"/>
                <w:i/>
                <w:sz w:val="24"/>
                <w:szCs w:val="24"/>
              </w:rPr>
              <w:t>Valute su incassi (par. 2.1) – entro il secondo giorno lavorativo successivo all’invio del messaggio di presa in carico</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[3]</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p>
        </w:tc>
        <w:tc>
          <w:tcPr>
            <w:tcW w:w="7907"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sz w:val="24"/>
                <w:szCs w:val="24"/>
              </w:rPr>
              <w:t>- prevista il giorno stesso</w:t>
            </w:r>
          </w:p>
        </w:tc>
        <w:tc>
          <w:tcPr>
            <w:tcW w:w="1312"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[3]</w:t>
            </w:r>
          </w:p>
        </w:tc>
        <w:tc>
          <w:tcPr>
            <w:tcW w:w="1312" w:type="dxa"/>
            <w:vAlign w:val="center"/>
          </w:tcPr>
          <w:p w:rsidR="00D173D4" w:rsidRDefault="00D173D4">
            <w:pPr>
              <w:spacing w:before="120" w:after="120" w:line="360" w:lineRule="auto"/>
              <w:rPr>
                <w:rFonts w:ascii="Times New Roman" w:hAnsi="Times New Roman"/>
                <w:i/>
                <w:sz w:val="24"/>
                <w:szCs w:val="24"/>
              </w:rPr>
            </w:pP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p>
        </w:tc>
        <w:tc>
          <w:tcPr>
            <w:tcW w:w="7907"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sz w:val="24"/>
                <w:szCs w:val="24"/>
              </w:rPr>
              <w:t>- prevista dopo un giorno</w:t>
            </w:r>
          </w:p>
        </w:tc>
        <w:tc>
          <w:tcPr>
            <w:tcW w:w="1312"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[1]</w:t>
            </w:r>
          </w:p>
        </w:tc>
        <w:tc>
          <w:tcPr>
            <w:tcW w:w="1312" w:type="dxa"/>
            <w:vAlign w:val="center"/>
          </w:tcPr>
          <w:p w:rsidR="00D173D4" w:rsidRDefault="00D173D4">
            <w:pPr>
              <w:spacing w:before="120" w:after="120" w:line="360" w:lineRule="auto"/>
              <w:rPr>
                <w:rFonts w:ascii="Times New Roman" w:hAnsi="Times New Roman"/>
                <w:i/>
                <w:sz w:val="24"/>
                <w:szCs w:val="24"/>
              </w:rPr>
            </w:pP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p>
        </w:tc>
        <w:tc>
          <w:tcPr>
            <w:tcW w:w="7907"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sz w:val="24"/>
                <w:szCs w:val="24"/>
              </w:rPr>
              <w:t>- prevista dopo due giorni</w:t>
            </w:r>
          </w:p>
        </w:tc>
        <w:tc>
          <w:tcPr>
            <w:tcW w:w="1312"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[0]</w:t>
            </w:r>
          </w:p>
        </w:tc>
        <w:tc>
          <w:tcPr>
            <w:tcW w:w="1312" w:type="dxa"/>
            <w:vAlign w:val="center"/>
          </w:tcPr>
          <w:p w:rsidR="00D173D4" w:rsidRDefault="00D173D4">
            <w:pPr>
              <w:spacing w:before="120" w:after="120" w:line="360" w:lineRule="auto"/>
              <w:rPr>
                <w:rFonts w:ascii="Times New Roman" w:hAnsi="Times New Roman"/>
                <w:i/>
                <w:sz w:val="24"/>
                <w:szCs w:val="24"/>
              </w:rPr>
            </w:pP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4</w:t>
            </w:r>
          </w:p>
        </w:tc>
        <w:tc>
          <w:tcPr>
            <w:tcW w:w="9219" w:type="dxa"/>
            <w:gridSpan w:val="2"/>
            <w:vAlign w:val="center"/>
          </w:tcPr>
          <w:p w:rsidR="00D173D4" w:rsidRDefault="00D173D4">
            <w:pPr>
              <w:spacing w:after="120" w:line="360" w:lineRule="auto"/>
              <w:rPr>
                <w:rFonts w:ascii="Times New Roman" w:hAnsi="Times New Roman"/>
                <w:b/>
                <w:i/>
                <w:sz w:val="24"/>
                <w:szCs w:val="24"/>
              </w:rPr>
            </w:pPr>
            <w:r>
              <w:rPr>
                <w:rFonts w:ascii="Times New Roman" w:hAnsi="Times New Roman"/>
                <w:i/>
                <w:sz w:val="24"/>
                <w:szCs w:val="24"/>
              </w:rPr>
              <w:t>Termine di ammissibilità pagamento dei mandati (par. 2.2) - entro e non oltre il secondo giorno lavorativo o lavorativo bancabile successivo a quello dell’invio del messaggio di presa in carico</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[3]</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p>
        </w:tc>
        <w:tc>
          <w:tcPr>
            <w:tcW w:w="7907"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sz w:val="24"/>
                <w:szCs w:val="24"/>
              </w:rPr>
              <w:t>- prevista il giorno stesso</w:t>
            </w:r>
          </w:p>
        </w:tc>
        <w:tc>
          <w:tcPr>
            <w:tcW w:w="1312"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[3]</w:t>
            </w:r>
          </w:p>
        </w:tc>
        <w:tc>
          <w:tcPr>
            <w:tcW w:w="1312" w:type="dxa"/>
            <w:vAlign w:val="center"/>
          </w:tcPr>
          <w:p w:rsidR="00D173D4" w:rsidRDefault="00D173D4">
            <w:pPr>
              <w:spacing w:before="120" w:after="120" w:line="360" w:lineRule="auto"/>
              <w:rPr>
                <w:rFonts w:ascii="Times New Roman" w:hAnsi="Times New Roman"/>
                <w:i/>
                <w:sz w:val="24"/>
                <w:szCs w:val="24"/>
              </w:rPr>
            </w:pP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p>
        </w:tc>
        <w:tc>
          <w:tcPr>
            <w:tcW w:w="7907"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sz w:val="24"/>
                <w:szCs w:val="24"/>
              </w:rPr>
              <w:t>- prevista dopo un giorno</w:t>
            </w:r>
          </w:p>
        </w:tc>
        <w:tc>
          <w:tcPr>
            <w:tcW w:w="1312"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[1]</w:t>
            </w:r>
          </w:p>
        </w:tc>
        <w:tc>
          <w:tcPr>
            <w:tcW w:w="1312" w:type="dxa"/>
            <w:vAlign w:val="center"/>
          </w:tcPr>
          <w:p w:rsidR="00D173D4" w:rsidRDefault="00D173D4">
            <w:pPr>
              <w:spacing w:before="120" w:after="120" w:line="360" w:lineRule="auto"/>
              <w:rPr>
                <w:rFonts w:ascii="Times New Roman" w:hAnsi="Times New Roman"/>
                <w:i/>
                <w:sz w:val="24"/>
                <w:szCs w:val="24"/>
              </w:rPr>
            </w:pP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p>
        </w:tc>
        <w:tc>
          <w:tcPr>
            <w:tcW w:w="7907"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sz w:val="24"/>
                <w:szCs w:val="24"/>
              </w:rPr>
              <w:t>- prevista dopo due giorni</w:t>
            </w:r>
          </w:p>
        </w:tc>
        <w:tc>
          <w:tcPr>
            <w:tcW w:w="1312"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[0]</w:t>
            </w:r>
          </w:p>
        </w:tc>
        <w:tc>
          <w:tcPr>
            <w:tcW w:w="1312" w:type="dxa"/>
            <w:vAlign w:val="center"/>
          </w:tcPr>
          <w:p w:rsidR="00D173D4" w:rsidRDefault="00D173D4">
            <w:pPr>
              <w:spacing w:before="120" w:after="120" w:line="360" w:lineRule="auto"/>
              <w:rPr>
                <w:rFonts w:ascii="Times New Roman" w:hAnsi="Times New Roman"/>
                <w:i/>
                <w:sz w:val="24"/>
                <w:szCs w:val="24"/>
              </w:rPr>
            </w:pP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5</w:t>
            </w:r>
          </w:p>
        </w:tc>
        <w:tc>
          <w:tcPr>
            <w:tcW w:w="9219" w:type="dxa"/>
            <w:gridSpan w:val="2"/>
            <w:vAlign w:val="center"/>
          </w:tcPr>
          <w:p w:rsidR="00D173D4" w:rsidRDefault="00D173D4">
            <w:pPr>
              <w:spacing w:after="120" w:line="360" w:lineRule="auto"/>
              <w:rPr>
                <w:rFonts w:ascii="Times New Roman" w:hAnsi="Times New Roman"/>
                <w:sz w:val="24"/>
                <w:szCs w:val="24"/>
              </w:rPr>
            </w:pPr>
            <w:r>
              <w:rPr>
                <w:rFonts w:ascii="Times New Roman" w:hAnsi="Times New Roman"/>
                <w:i/>
                <w:sz w:val="24"/>
                <w:szCs w:val="24"/>
              </w:rPr>
              <w:t xml:space="preserve">Commissioni a carico dell’Istituto per singola operazione di pagamento ordinato dall’Istituto medesimo mediante bonifico, esclusi bonifici stipendi e rimborsi spese a favore </w:t>
            </w:r>
            <w:r>
              <w:rPr>
                <w:rFonts w:ascii="Times New Roman" w:hAnsi="Times New Roman"/>
                <w:i/>
                <w:sz w:val="24"/>
                <w:szCs w:val="24"/>
              </w:rPr>
              <w:lastRenderedPageBreak/>
              <w:t>dei dipendenti (par. 2.2)</w:t>
            </w:r>
          </w:p>
        </w:tc>
        <w:tc>
          <w:tcPr>
            <w:tcW w:w="1312" w:type="dxa"/>
            <w:vAlign w:val="center"/>
          </w:tcPr>
          <w:p w:rsidR="00D173D4" w:rsidRDefault="00D173D4">
            <w:pPr>
              <w:spacing w:after="120" w:line="360" w:lineRule="auto"/>
              <w:jc w:val="center"/>
              <w:rPr>
                <w:rFonts w:ascii="Times New Roman" w:hAnsi="Times New Roman"/>
                <w:sz w:val="24"/>
                <w:szCs w:val="24"/>
              </w:rPr>
            </w:pPr>
            <w:r>
              <w:rPr>
                <w:rFonts w:ascii="Times New Roman" w:hAnsi="Times New Roman"/>
                <w:b/>
                <w:i/>
                <w:sz w:val="24"/>
                <w:szCs w:val="24"/>
              </w:rPr>
              <w:lastRenderedPageBreak/>
              <w:t>[6]</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lastRenderedPageBreak/>
              <w:t>6</w:t>
            </w:r>
          </w:p>
        </w:tc>
        <w:tc>
          <w:tcPr>
            <w:tcW w:w="9219" w:type="dxa"/>
            <w:gridSpan w:val="2"/>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Commissioni a carico dell’Istituto per singola operazione di pagamento ordinato dall’Istituto medesimo, mediante bollettino di conto corrente postale o carta di credito, esclusi i pagamenti stipendi e i rimborsi spese a favore dei dipendenti (par. 2.2)</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[3]</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7</w:t>
            </w:r>
          </w:p>
        </w:tc>
        <w:tc>
          <w:tcPr>
            <w:tcW w:w="9219" w:type="dxa"/>
            <w:gridSpan w:val="2"/>
            <w:vAlign w:val="center"/>
          </w:tcPr>
          <w:p w:rsidR="00D173D4" w:rsidRDefault="00D173D4">
            <w:pPr>
              <w:spacing w:after="120" w:line="360" w:lineRule="auto"/>
              <w:rPr>
                <w:rFonts w:ascii="Times New Roman" w:hAnsi="Times New Roman"/>
                <w:sz w:val="24"/>
                <w:szCs w:val="24"/>
              </w:rPr>
            </w:pPr>
            <w:r>
              <w:rPr>
                <w:rFonts w:ascii="Times New Roman" w:hAnsi="Times New Roman"/>
                <w:i/>
                <w:sz w:val="24"/>
                <w:szCs w:val="24"/>
              </w:rPr>
              <w:t>Spese annue per attivazione e gestione carta di credito (par. 2.3)</w:t>
            </w:r>
          </w:p>
        </w:tc>
        <w:tc>
          <w:tcPr>
            <w:tcW w:w="1312" w:type="dxa"/>
            <w:vAlign w:val="center"/>
          </w:tcPr>
          <w:p w:rsidR="00D173D4" w:rsidRDefault="00D173D4">
            <w:pPr>
              <w:spacing w:after="120" w:line="360" w:lineRule="auto"/>
              <w:jc w:val="center"/>
              <w:rPr>
                <w:rFonts w:ascii="Times New Roman" w:hAnsi="Times New Roman"/>
                <w:sz w:val="24"/>
                <w:szCs w:val="24"/>
              </w:rPr>
            </w:pPr>
            <w:r>
              <w:rPr>
                <w:rFonts w:ascii="Times New Roman" w:hAnsi="Times New Roman"/>
                <w:b/>
                <w:i/>
                <w:sz w:val="24"/>
                <w:szCs w:val="24"/>
              </w:rPr>
              <w:t>[1]</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8</w:t>
            </w:r>
          </w:p>
        </w:tc>
        <w:tc>
          <w:tcPr>
            <w:tcW w:w="9219" w:type="dxa"/>
            <w:gridSpan w:val="2"/>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Oneri di ricarica delle carte prepagate emesse dal Gestore (par. 2.3)</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[1]</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9</w:t>
            </w:r>
          </w:p>
        </w:tc>
        <w:tc>
          <w:tcPr>
            <w:tcW w:w="9219" w:type="dxa"/>
            <w:gridSpan w:val="2"/>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Oneri di ricarica delle carte prepagate tramite circuito interbancario (par. 2.3)</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[1]</w:t>
            </w:r>
          </w:p>
        </w:tc>
      </w:tr>
      <w:tr w:rsidR="00D173D4">
        <w:trPr>
          <w:trHeight w:val="637"/>
          <w:jc w:val="center"/>
        </w:trPr>
        <w:tc>
          <w:tcPr>
            <w:tcW w:w="456"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i/>
                <w:sz w:val="24"/>
                <w:szCs w:val="24"/>
              </w:rPr>
              <w:t>10</w:t>
            </w:r>
          </w:p>
        </w:tc>
        <w:tc>
          <w:tcPr>
            <w:tcW w:w="9219" w:type="dxa"/>
            <w:gridSpan w:val="2"/>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Tasso d'interesse attivo su giacenze attive di cassa per le disponibilità non sottoposte a regime di tesoreria unica (par. 2.4)</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11</w:t>
            </w:r>
          </w:p>
        </w:tc>
        <w:tc>
          <w:tcPr>
            <w:tcW w:w="9219" w:type="dxa"/>
            <w:gridSpan w:val="2"/>
            <w:vAlign w:val="center"/>
          </w:tcPr>
          <w:p w:rsidR="00D173D4" w:rsidRDefault="00D173D4">
            <w:pPr>
              <w:spacing w:after="120" w:line="360" w:lineRule="auto"/>
              <w:rPr>
                <w:rFonts w:ascii="Times New Roman" w:hAnsi="Times New Roman"/>
                <w:sz w:val="24"/>
                <w:szCs w:val="24"/>
              </w:rPr>
            </w:pPr>
            <w:r>
              <w:rPr>
                <w:rFonts w:ascii="Times New Roman" w:hAnsi="Times New Roman"/>
                <w:i/>
                <w:sz w:val="24"/>
                <w:szCs w:val="24"/>
              </w:rPr>
              <w:t>Tasso annuo d’interesse passivo su anticipazioni di cassa (par. 2.5)</w:t>
            </w:r>
          </w:p>
        </w:tc>
        <w:tc>
          <w:tcPr>
            <w:tcW w:w="1312" w:type="dxa"/>
            <w:vAlign w:val="center"/>
          </w:tcPr>
          <w:p w:rsidR="00D173D4" w:rsidRDefault="00D173D4">
            <w:pPr>
              <w:spacing w:after="120" w:line="360" w:lineRule="auto"/>
              <w:jc w:val="center"/>
              <w:rPr>
                <w:rFonts w:ascii="Times New Roman" w:hAnsi="Times New Roman"/>
                <w:sz w:val="24"/>
                <w:szCs w:val="24"/>
              </w:rPr>
            </w:pPr>
            <w:r>
              <w:rPr>
                <w:rFonts w:ascii="Times New Roman" w:hAnsi="Times New Roman"/>
                <w:b/>
                <w:i/>
                <w:sz w:val="24"/>
                <w:szCs w:val="24"/>
              </w:rPr>
              <w:t>[10]</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12</w:t>
            </w:r>
          </w:p>
        </w:tc>
        <w:tc>
          <w:tcPr>
            <w:tcW w:w="9219" w:type="dxa"/>
            <w:gridSpan w:val="2"/>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Tasso annuo d’interesse passivo su aperture di credito (par. 2.6)</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[6]</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13</w:t>
            </w:r>
          </w:p>
        </w:tc>
        <w:tc>
          <w:tcPr>
            <w:tcW w:w="9219" w:type="dxa"/>
            <w:gridSpan w:val="2"/>
            <w:vAlign w:val="center"/>
          </w:tcPr>
          <w:p w:rsidR="00D173D4" w:rsidRDefault="00D173D4">
            <w:pPr>
              <w:spacing w:after="120" w:line="360" w:lineRule="auto"/>
              <w:rPr>
                <w:rFonts w:ascii="Times New Roman" w:hAnsi="Times New Roman"/>
                <w:sz w:val="24"/>
                <w:szCs w:val="24"/>
              </w:rPr>
            </w:pPr>
            <w:r>
              <w:rPr>
                <w:rFonts w:ascii="Times New Roman" w:hAnsi="Times New Roman"/>
                <w:i/>
                <w:sz w:val="24"/>
                <w:szCs w:val="24"/>
              </w:rPr>
              <w:t>Remunerazione forfetaria annua per custodia e amministrazione di titoli e valori (par. 2.7)</w:t>
            </w:r>
          </w:p>
        </w:tc>
        <w:tc>
          <w:tcPr>
            <w:tcW w:w="1312" w:type="dxa"/>
            <w:vAlign w:val="center"/>
          </w:tcPr>
          <w:p w:rsidR="00D173D4" w:rsidRDefault="00D173D4">
            <w:pPr>
              <w:spacing w:after="120" w:line="360" w:lineRule="auto"/>
              <w:jc w:val="center"/>
              <w:rPr>
                <w:rFonts w:ascii="Times New Roman" w:hAnsi="Times New Roman"/>
                <w:sz w:val="24"/>
                <w:szCs w:val="24"/>
              </w:rPr>
            </w:pPr>
            <w:r>
              <w:rPr>
                <w:rFonts w:ascii="Times New Roman" w:hAnsi="Times New Roman"/>
                <w:b/>
                <w:i/>
                <w:sz w:val="24"/>
                <w:szCs w:val="24"/>
              </w:rPr>
              <w:t>[2]</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14</w:t>
            </w:r>
          </w:p>
        </w:tc>
        <w:tc>
          <w:tcPr>
            <w:tcW w:w="9219" w:type="dxa"/>
            <w:gridSpan w:val="2"/>
            <w:vAlign w:val="center"/>
          </w:tcPr>
          <w:p w:rsidR="00D173D4" w:rsidRDefault="00D173D4">
            <w:pPr>
              <w:spacing w:after="120" w:line="360" w:lineRule="auto"/>
              <w:rPr>
                <w:rFonts w:ascii="Times New Roman" w:hAnsi="Times New Roman"/>
                <w:b/>
                <w:i/>
                <w:sz w:val="24"/>
                <w:szCs w:val="24"/>
              </w:rPr>
            </w:pPr>
            <w:r>
              <w:rPr>
                <w:rFonts w:ascii="Times New Roman" w:hAnsi="Times New Roman"/>
                <w:i/>
                <w:sz w:val="24"/>
                <w:szCs w:val="24"/>
              </w:rPr>
              <w:t>Commissione per transazione inerente il servizio di riscossione tramite procedura MAV bancario e postale (par. 2.8)</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15</w:t>
            </w:r>
          </w:p>
        </w:tc>
        <w:tc>
          <w:tcPr>
            <w:tcW w:w="9219" w:type="dxa"/>
            <w:gridSpan w:val="2"/>
            <w:vAlign w:val="center"/>
          </w:tcPr>
          <w:p w:rsidR="00D173D4" w:rsidRDefault="00D173D4">
            <w:pPr>
              <w:spacing w:after="120" w:line="360" w:lineRule="auto"/>
              <w:rPr>
                <w:rFonts w:ascii="Times New Roman" w:hAnsi="Times New Roman"/>
                <w:b/>
                <w:i/>
                <w:sz w:val="24"/>
                <w:szCs w:val="24"/>
              </w:rPr>
            </w:pPr>
            <w:r>
              <w:rPr>
                <w:rFonts w:ascii="Times New Roman" w:hAnsi="Times New Roman"/>
                <w:i/>
                <w:sz w:val="24"/>
                <w:szCs w:val="24"/>
              </w:rPr>
              <w:t>Commissione per transazione inerente il servizio di riscossione tramite procedura RID bancario e postale (par. 2.8)</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16</w:t>
            </w:r>
          </w:p>
        </w:tc>
        <w:tc>
          <w:tcPr>
            <w:tcW w:w="9219" w:type="dxa"/>
            <w:gridSpan w:val="2"/>
            <w:vAlign w:val="center"/>
          </w:tcPr>
          <w:p w:rsidR="00D173D4" w:rsidRDefault="00D173D4">
            <w:pPr>
              <w:spacing w:before="120" w:after="120" w:line="360" w:lineRule="auto"/>
              <w:rPr>
                <w:rFonts w:ascii="Times New Roman" w:hAnsi="Times New Roman"/>
                <w:i/>
                <w:sz w:val="24"/>
                <w:szCs w:val="24"/>
              </w:rPr>
            </w:pPr>
            <w:r>
              <w:rPr>
                <w:rFonts w:ascii="Times New Roman" w:hAnsi="Times New Roman"/>
                <w:i/>
                <w:sz w:val="24"/>
                <w:szCs w:val="24"/>
              </w:rPr>
              <w:t>Commissione per transazione inerente il servizio di riscossione tramite procedura RIBA (par. 2.8)</w:t>
            </w:r>
          </w:p>
          <w:p w:rsidR="00D173D4" w:rsidRDefault="00D173D4">
            <w:pPr>
              <w:spacing w:before="120" w:after="120" w:line="360" w:lineRule="auto"/>
              <w:rPr>
                <w:rFonts w:ascii="Times New Roman" w:hAnsi="Times New Roman"/>
                <w:sz w:val="24"/>
                <w:szCs w:val="24"/>
              </w:rPr>
            </w:pPr>
            <w:r>
              <w:rPr>
                <w:rFonts w:ascii="Times New Roman" w:hAnsi="Times New Roman"/>
                <w:sz w:val="24"/>
                <w:szCs w:val="24"/>
              </w:rPr>
              <w:t>[ovvero, in alternativa]</w:t>
            </w:r>
          </w:p>
          <w:p w:rsidR="00D173D4" w:rsidRDefault="00D173D4">
            <w:pPr>
              <w:spacing w:after="120" w:line="360" w:lineRule="auto"/>
              <w:rPr>
                <w:rFonts w:ascii="Times New Roman" w:hAnsi="Times New Roman"/>
                <w:b/>
                <w:i/>
                <w:sz w:val="24"/>
                <w:szCs w:val="24"/>
              </w:rPr>
            </w:pPr>
            <w:r>
              <w:rPr>
                <w:rFonts w:ascii="Times New Roman" w:hAnsi="Times New Roman"/>
                <w:i/>
                <w:sz w:val="24"/>
                <w:szCs w:val="24"/>
              </w:rPr>
              <w:t>Commissione per transazione inerente il servizio di riscossione tramite incasso domiciliato (par. 2.8)</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17</w:t>
            </w:r>
          </w:p>
        </w:tc>
        <w:tc>
          <w:tcPr>
            <w:tcW w:w="9219" w:type="dxa"/>
            <w:gridSpan w:val="2"/>
            <w:vAlign w:val="center"/>
          </w:tcPr>
          <w:p w:rsidR="00D173D4" w:rsidRDefault="00D173D4">
            <w:pPr>
              <w:spacing w:after="120" w:line="360" w:lineRule="auto"/>
              <w:rPr>
                <w:rFonts w:ascii="Times New Roman" w:hAnsi="Times New Roman"/>
                <w:b/>
                <w:i/>
                <w:sz w:val="24"/>
                <w:szCs w:val="24"/>
              </w:rPr>
            </w:pPr>
            <w:r>
              <w:rPr>
                <w:rFonts w:ascii="Times New Roman" w:hAnsi="Times New Roman"/>
                <w:i/>
                <w:sz w:val="24"/>
                <w:szCs w:val="24"/>
              </w:rPr>
              <w:t>Commissione per transazione inerente il servizio di riscossione tramite bollettino (par. 2.8)</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lastRenderedPageBreak/>
              <w:t>18</w:t>
            </w:r>
          </w:p>
        </w:tc>
        <w:tc>
          <w:tcPr>
            <w:tcW w:w="9219" w:type="dxa"/>
            <w:gridSpan w:val="2"/>
            <w:vAlign w:val="center"/>
          </w:tcPr>
          <w:p w:rsidR="00D173D4" w:rsidRDefault="00D173D4">
            <w:pPr>
              <w:spacing w:after="120" w:line="360" w:lineRule="auto"/>
              <w:rPr>
                <w:rFonts w:ascii="Times New Roman" w:hAnsi="Times New Roman"/>
                <w:b/>
                <w:i/>
                <w:sz w:val="24"/>
                <w:szCs w:val="24"/>
              </w:rPr>
            </w:pPr>
            <w:r>
              <w:rPr>
                <w:rFonts w:ascii="Times New Roman" w:hAnsi="Times New Roman"/>
                <w:i/>
                <w:sz w:val="24"/>
                <w:szCs w:val="24"/>
              </w:rPr>
              <w:t>Commissione per transazione inerente il servizio di riscossione tramite POS (par. 2.8)</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19</w:t>
            </w:r>
          </w:p>
        </w:tc>
        <w:tc>
          <w:tcPr>
            <w:tcW w:w="9219" w:type="dxa"/>
            <w:gridSpan w:val="2"/>
            <w:vAlign w:val="center"/>
          </w:tcPr>
          <w:p w:rsidR="00D173D4" w:rsidRDefault="00D173D4">
            <w:pPr>
              <w:rPr>
                <w:rFonts w:ascii="Times New Roman" w:hAnsi="Times New Roman"/>
                <w:i/>
                <w:szCs w:val="24"/>
              </w:rPr>
            </w:pPr>
            <w:r>
              <w:rPr>
                <w:rFonts w:ascii="Times New Roman" w:hAnsi="Times New Roman"/>
                <w:i/>
                <w:szCs w:val="24"/>
              </w:rPr>
              <w:t>Contributo annuo offerto all’Istituto a sostegno di iniziative a carattere istituzionale</w:t>
            </w:r>
          </w:p>
        </w:tc>
        <w:tc>
          <w:tcPr>
            <w:tcW w:w="1312" w:type="dxa"/>
            <w:vAlign w:val="center"/>
          </w:tcPr>
          <w:p w:rsidR="00D173D4" w:rsidRDefault="00D173D4">
            <w:pPr>
              <w:jc w:val="center"/>
              <w:rPr>
                <w:rFonts w:ascii="Times New Roman" w:hAnsi="Times New Roman"/>
                <w:b/>
                <w:i/>
                <w:szCs w:val="24"/>
              </w:rPr>
            </w:pPr>
            <w:r>
              <w:rPr>
                <w:rFonts w:ascii="Times New Roman" w:hAnsi="Times New Roman"/>
                <w:b/>
                <w:i/>
                <w:szCs w:val="24"/>
              </w:rPr>
              <w:t>[2]</w:t>
            </w:r>
          </w:p>
        </w:tc>
      </w:tr>
      <w:tr w:rsidR="00D173D4">
        <w:trPr>
          <w:jc w:val="center"/>
        </w:trPr>
        <w:tc>
          <w:tcPr>
            <w:tcW w:w="9675" w:type="dxa"/>
            <w:gridSpan w:val="3"/>
            <w:shd w:val="clear" w:color="auto" w:fill="D9D9D9"/>
            <w:vAlign w:val="center"/>
          </w:tcPr>
          <w:p w:rsidR="00D173D4" w:rsidRDefault="00D173D4">
            <w:pPr>
              <w:spacing w:before="120" w:after="120" w:line="360" w:lineRule="auto"/>
              <w:jc w:val="center"/>
              <w:rPr>
                <w:rFonts w:ascii="Times New Roman" w:hAnsi="Times New Roman"/>
                <w:b/>
                <w:sz w:val="24"/>
                <w:szCs w:val="24"/>
              </w:rPr>
            </w:pPr>
            <w:r>
              <w:rPr>
                <w:rFonts w:ascii="Times New Roman" w:hAnsi="Times New Roman"/>
                <w:b/>
                <w:sz w:val="24"/>
                <w:szCs w:val="24"/>
              </w:rPr>
              <w:t>PUNTEGGIO TOTALE</w:t>
            </w:r>
          </w:p>
        </w:tc>
        <w:tc>
          <w:tcPr>
            <w:tcW w:w="1312" w:type="dxa"/>
            <w:shd w:val="clear" w:color="auto" w:fill="D9D9D9"/>
            <w:vAlign w:val="center"/>
          </w:tcPr>
          <w:p w:rsidR="00D173D4" w:rsidRDefault="00D173D4">
            <w:pPr>
              <w:spacing w:before="120" w:after="120" w:line="360" w:lineRule="auto"/>
              <w:jc w:val="center"/>
              <w:rPr>
                <w:rFonts w:ascii="Times New Roman" w:hAnsi="Times New Roman"/>
                <w:b/>
                <w:sz w:val="24"/>
                <w:szCs w:val="24"/>
              </w:rPr>
            </w:pPr>
            <w:r>
              <w:rPr>
                <w:rFonts w:ascii="Times New Roman" w:hAnsi="Times New Roman"/>
                <w:b/>
                <w:i/>
                <w:sz w:val="24"/>
                <w:szCs w:val="24"/>
              </w:rPr>
              <w:t>[90]</w:t>
            </w:r>
          </w:p>
        </w:tc>
      </w:tr>
    </w:tbl>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merito economico di cui ai Punti 1, 2, 5, 6, 7, 8, 9, 13, 14, 15, 16, 17, e 18 - “PE</w:t>
      </w:r>
      <w:r>
        <w:rPr>
          <w:rFonts w:ascii="Times New Roman" w:hAnsi="Times New Roman"/>
          <w:sz w:val="24"/>
          <w:szCs w:val="24"/>
          <w:vertAlign w:val="subscript"/>
        </w:rPr>
        <w:t>1</w:t>
      </w:r>
      <w:r>
        <w:rPr>
          <w:rFonts w:ascii="Times New Roman" w:hAnsi="Times New Roman"/>
          <w:sz w:val="24"/>
          <w:szCs w:val="24"/>
        </w:rPr>
        <w:t>”, “PE</w:t>
      </w:r>
      <w:r>
        <w:rPr>
          <w:rFonts w:ascii="Times New Roman" w:hAnsi="Times New Roman"/>
          <w:sz w:val="24"/>
          <w:szCs w:val="24"/>
          <w:vertAlign w:val="subscript"/>
        </w:rPr>
        <w:t>2</w:t>
      </w:r>
      <w:r>
        <w:rPr>
          <w:rFonts w:ascii="Times New Roman" w:hAnsi="Times New Roman"/>
          <w:sz w:val="24"/>
          <w:szCs w:val="24"/>
        </w:rPr>
        <w:t>”, “PE</w:t>
      </w:r>
      <w:r>
        <w:rPr>
          <w:rFonts w:ascii="Times New Roman" w:hAnsi="Times New Roman"/>
          <w:sz w:val="24"/>
          <w:szCs w:val="24"/>
          <w:vertAlign w:val="subscript"/>
        </w:rPr>
        <w:t>5</w:t>
      </w:r>
      <w:r>
        <w:rPr>
          <w:rFonts w:ascii="Times New Roman" w:hAnsi="Times New Roman"/>
          <w:sz w:val="24"/>
          <w:szCs w:val="24"/>
        </w:rPr>
        <w:t>”, “PE</w:t>
      </w:r>
      <w:r>
        <w:rPr>
          <w:rFonts w:ascii="Times New Roman" w:hAnsi="Times New Roman"/>
          <w:sz w:val="24"/>
          <w:szCs w:val="24"/>
          <w:vertAlign w:val="subscript"/>
        </w:rPr>
        <w:t>6</w:t>
      </w:r>
      <w:r>
        <w:rPr>
          <w:rFonts w:ascii="Times New Roman" w:hAnsi="Times New Roman"/>
          <w:sz w:val="24"/>
          <w:szCs w:val="24"/>
        </w:rPr>
        <w:t>”, “PE</w:t>
      </w:r>
      <w:r>
        <w:rPr>
          <w:rFonts w:ascii="Times New Roman" w:hAnsi="Times New Roman"/>
          <w:sz w:val="24"/>
          <w:szCs w:val="24"/>
          <w:vertAlign w:val="subscript"/>
        </w:rPr>
        <w:t>7</w:t>
      </w:r>
      <w:r>
        <w:rPr>
          <w:rFonts w:ascii="Times New Roman" w:hAnsi="Times New Roman"/>
          <w:sz w:val="24"/>
          <w:szCs w:val="24"/>
        </w:rPr>
        <w:t>”, “PE</w:t>
      </w:r>
      <w:r>
        <w:rPr>
          <w:rFonts w:ascii="Times New Roman" w:hAnsi="Times New Roman"/>
          <w:sz w:val="24"/>
          <w:szCs w:val="24"/>
          <w:vertAlign w:val="subscript"/>
        </w:rPr>
        <w:t>8</w:t>
      </w:r>
      <w:r>
        <w:rPr>
          <w:rFonts w:ascii="Times New Roman" w:hAnsi="Times New Roman"/>
          <w:sz w:val="24"/>
          <w:szCs w:val="24"/>
        </w:rPr>
        <w:t>”, “PE</w:t>
      </w:r>
      <w:r>
        <w:rPr>
          <w:rFonts w:ascii="Times New Roman" w:hAnsi="Times New Roman"/>
          <w:sz w:val="24"/>
          <w:szCs w:val="24"/>
          <w:vertAlign w:val="subscript"/>
        </w:rPr>
        <w:t>9</w:t>
      </w:r>
      <w:r>
        <w:rPr>
          <w:rFonts w:ascii="Times New Roman" w:hAnsi="Times New Roman"/>
          <w:sz w:val="24"/>
          <w:szCs w:val="24"/>
        </w:rPr>
        <w:t>”, “PE</w:t>
      </w:r>
      <w:r>
        <w:rPr>
          <w:rFonts w:ascii="Times New Roman" w:hAnsi="Times New Roman"/>
          <w:sz w:val="24"/>
          <w:szCs w:val="24"/>
          <w:vertAlign w:val="subscript"/>
        </w:rPr>
        <w:t>13</w:t>
      </w:r>
      <w:r>
        <w:rPr>
          <w:rFonts w:ascii="Times New Roman" w:hAnsi="Times New Roman"/>
          <w:sz w:val="24"/>
          <w:szCs w:val="24"/>
        </w:rPr>
        <w:t>”, “PE</w:t>
      </w:r>
      <w:r>
        <w:rPr>
          <w:rFonts w:ascii="Times New Roman" w:hAnsi="Times New Roman"/>
          <w:sz w:val="24"/>
          <w:szCs w:val="24"/>
          <w:vertAlign w:val="subscript"/>
        </w:rPr>
        <w:t>14</w:t>
      </w:r>
      <w:r>
        <w:rPr>
          <w:rFonts w:ascii="Times New Roman" w:hAnsi="Times New Roman"/>
          <w:sz w:val="24"/>
          <w:szCs w:val="24"/>
        </w:rPr>
        <w:t>”, “PE</w:t>
      </w:r>
      <w:r>
        <w:rPr>
          <w:rFonts w:ascii="Times New Roman" w:hAnsi="Times New Roman"/>
          <w:sz w:val="24"/>
          <w:szCs w:val="24"/>
          <w:vertAlign w:val="subscript"/>
        </w:rPr>
        <w:t>15</w:t>
      </w:r>
      <w:r>
        <w:rPr>
          <w:rFonts w:ascii="Times New Roman" w:hAnsi="Times New Roman"/>
          <w:sz w:val="24"/>
          <w:szCs w:val="24"/>
        </w:rPr>
        <w:t>”, “PE</w:t>
      </w:r>
      <w:r>
        <w:rPr>
          <w:rFonts w:ascii="Times New Roman" w:hAnsi="Times New Roman"/>
          <w:sz w:val="24"/>
          <w:szCs w:val="24"/>
          <w:vertAlign w:val="subscript"/>
        </w:rPr>
        <w:t>16</w:t>
      </w:r>
      <w:r>
        <w:rPr>
          <w:rFonts w:ascii="Times New Roman" w:hAnsi="Times New Roman"/>
          <w:sz w:val="24"/>
          <w:szCs w:val="24"/>
        </w:rPr>
        <w:t>”, “PE</w:t>
      </w:r>
      <w:r>
        <w:rPr>
          <w:rFonts w:ascii="Times New Roman" w:hAnsi="Times New Roman"/>
          <w:sz w:val="24"/>
          <w:szCs w:val="24"/>
          <w:vertAlign w:val="subscript"/>
        </w:rPr>
        <w:t>17</w:t>
      </w:r>
      <w:r>
        <w:rPr>
          <w:rFonts w:ascii="Times New Roman" w:hAnsi="Times New Roman"/>
          <w:sz w:val="24"/>
          <w:szCs w:val="24"/>
        </w:rPr>
        <w:t>” e “PE</w:t>
      </w:r>
      <w:r>
        <w:rPr>
          <w:rFonts w:ascii="Times New Roman" w:hAnsi="Times New Roman"/>
          <w:sz w:val="24"/>
          <w:szCs w:val="24"/>
          <w:vertAlign w:val="subscript"/>
        </w:rPr>
        <w:t>18</w:t>
      </w:r>
      <w:r>
        <w:rPr>
          <w:rFonts w:ascii="Times New Roman" w:hAnsi="Times New Roman"/>
          <w:sz w:val="24"/>
          <w:szCs w:val="24"/>
        </w:rPr>
        <w:t>” - sarà attribuito sulla base della seguente formula:</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PE</w:t>
      </w:r>
      <w:r>
        <w:rPr>
          <w:rFonts w:ascii="Times New Roman" w:hAnsi="Times New Roman"/>
          <w:sz w:val="24"/>
          <w:szCs w:val="24"/>
          <w:vertAlign w:val="subscript"/>
        </w:rPr>
        <w:t xml:space="preserve"> 1, 2, 5 , 6, 7, 8, 9, 13, 14, 15, 16, 17, 18 </w:t>
      </w:r>
      <w:r>
        <w:rPr>
          <w:rFonts w:ascii="Times New Roman" w:hAnsi="Times New Roman"/>
          <w:sz w:val="24"/>
          <w:szCs w:val="24"/>
        </w:rPr>
        <w:t xml:space="preserve"> = (V </w:t>
      </w:r>
      <w:proofErr w:type="spellStart"/>
      <w:r>
        <w:rPr>
          <w:rFonts w:ascii="Times New Roman" w:hAnsi="Times New Roman"/>
          <w:sz w:val="24"/>
          <w:szCs w:val="24"/>
          <w:vertAlign w:val="subscript"/>
        </w:rPr>
        <w:t>max</w:t>
      </w:r>
      <w:proofErr w:type="spellEnd"/>
      <w:r>
        <w:rPr>
          <w:rFonts w:ascii="Times New Roman" w:hAnsi="Times New Roman"/>
          <w:sz w:val="24"/>
          <w:szCs w:val="24"/>
        </w:rPr>
        <w:t xml:space="preserve"> - V </w:t>
      </w:r>
      <w:proofErr w:type="spellStart"/>
      <w:r>
        <w:rPr>
          <w:rFonts w:ascii="Times New Roman" w:hAnsi="Times New Roman"/>
          <w:sz w:val="24"/>
          <w:szCs w:val="24"/>
          <w:vertAlign w:val="subscript"/>
        </w:rPr>
        <w:t>i.esimo</w:t>
      </w:r>
      <w:proofErr w:type="spellEnd"/>
      <w:r>
        <w:rPr>
          <w:rFonts w:ascii="Times New Roman" w:hAnsi="Times New Roman"/>
          <w:sz w:val="24"/>
          <w:szCs w:val="24"/>
        </w:rPr>
        <w:t xml:space="preserve">) / (V </w:t>
      </w:r>
      <w:proofErr w:type="spellStart"/>
      <w:r>
        <w:rPr>
          <w:rFonts w:ascii="Times New Roman" w:hAnsi="Times New Roman"/>
          <w:sz w:val="24"/>
          <w:szCs w:val="24"/>
          <w:vertAlign w:val="subscript"/>
        </w:rPr>
        <w:t>max</w:t>
      </w:r>
      <w:proofErr w:type="spellEnd"/>
      <w:r>
        <w:rPr>
          <w:rFonts w:ascii="Times New Roman" w:hAnsi="Times New Roman"/>
          <w:sz w:val="24"/>
          <w:szCs w:val="24"/>
        </w:rPr>
        <w:t xml:space="preserve"> - V </w:t>
      </w:r>
      <w:r>
        <w:rPr>
          <w:rFonts w:ascii="Times New Roman" w:hAnsi="Times New Roman"/>
          <w:sz w:val="24"/>
          <w:szCs w:val="24"/>
          <w:vertAlign w:val="subscript"/>
        </w:rPr>
        <w:t>min</w:t>
      </w:r>
      <w:r>
        <w:rPr>
          <w:rFonts w:ascii="Times New Roman" w:hAnsi="Times New Roman"/>
          <w:sz w:val="24"/>
          <w:szCs w:val="24"/>
        </w:rPr>
        <w:t>) x […]</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Dove:</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V </w:t>
      </w:r>
      <w:proofErr w:type="spellStart"/>
      <w:r>
        <w:rPr>
          <w:rFonts w:ascii="Times New Roman" w:hAnsi="Times New Roman"/>
          <w:sz w:val="24"/>
          <w:szCs w:val="24"/>
          <w:vertAlign w:val="subscript"/>
        </w:rPr>
        <w:t>i.esimo</w:t>
      </w:r>
      <w:proofErr w:type="spellEnd"/>
      <w:r>
        <w:rPr>
          <w:rFonts w:ascii="Times New Roman" w:hAnsi="Times New Roman"/>
          <w:sz w:val="24"/>
          <w:szCs w:val="24"/>
        </w:rPr>
        <w:t xml:space="preserve"> = valore offerto dal concorrente </w:t>
      </w:r>
      <w:proofErr w:type="spellStart"/>
      <w:r>
        <w:rPr>
          <w:rFonts w:ascii="Times New Roman" w:hAnsi="Times New Roman"/>
          <w:sz w:val="24"/>
          <w:szCs w:val="24"/>
        </w:rPr>
        <w:t>i.esimo</w:t>
      </w:r>
      <w:proofErr w:type="spellEnd"/>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V </w:t>
      </w:r>
      <w:proofErr w:type="spellStart"/>
      <w:r>
        <w:rPr>
          <w:rFonts w:ascii="Times New Roman" w:hAnsi="Times New Roman"/>
          <w:sz w:val="24"/>
          <w:szCs w:val="24"/>
          <w:vertAlign w:val="subscript"/>
        </w:rPr>
        <w:t>max</w:t>
      </w:r>
      <w:proofErr w:type="spellEnd"/>
      <w:r>
        <w:rPr>
          <w:rFonts w:ascii="Times New Roman" w:hAnsi="Times New Roman"/>
          <w:sz w:val="24"/>
          <w:szCs w:val="24"/>
        </w:rPr>
        <w:tab/>
        <w:t>= valore più alto tra quelli offerti dai concorrenti ammessi alla fase di valutazione delle offerte economiche</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vertAlign w:val="subscript"/>
        </w:rPr>
        <w:t>min</w:t>
      </w:r>
      <w:r>
        <w:rPr>
          <w:rFonts w:ascii="Times New Roman" w:hAnsi="Times New Roman"/>
          <w:sz w:val="24"/>
          <w:szCs w:val="24"/>
        </w:rPr>
        <w:tab/>
        <w:t>= valore più basso tra quelli offerti dai concorrenti ammessi alla fase di valutazione delle offerte economiche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merito economico di cui al Punto 10 - “PE</w:t>
      </w:r>
      <w:r>
        <w:rPr>
          <w:rFonts w:ascii="Times New Roman" w:hAnsi="Times New Roman"/>
          <w:sz w:val="24"/>
          <w:szCs w:val="24"/>
          <w:vertAlign w:val="subscript"/>
        </w:rPr>
        <w:t>10</w:t>
      </w:r>
      <w:r>
        <w:rPr>
          <w:rFonts w:ascii="Times New Roman" w:hAnsi="Times New Roman"/>
          <w:sz w:val="24"/>
          <w:szCs w:val="24"/>
        </w:rPr>
        <w:t>” - sarà attribuito sulla base della seguente formula:</w:t>
      </w:r>
    </w:p>
    <w:p w:rsidR="00D173D4" w:rsidRDefault="00D173D4">
      <w:pPr>
        <w:spacing w:before="120" w:after="120" w:line="240" w:lineRule="auto"/>
        <w:jc w:val="both"/>
        <w:rPr>
          <w:rFonts w:ascii="Times New Roman" w:hAnsi="Times New Roman"/>
          <w:sz w:val="24"/>
          <w:szCs w:val="24"/>
          <w:lang w:val="fr-FR"/>
        </w:rPr>
      </w:pPr>
      <w:r>
        <w:rPr>
          <w:rFonts w:ascii="Times New Roman" w:hAnsi="Times New Roman"/>
          <w:sz w:val="24"/>
          <w:szCs w:val="24"/>
          <w:lang w:val="fr-FR"/>
        </w:rPr>
        <w:t>PE</w:t>
      </w:r>
      <w:r>
        <w:rPr>
          <w:rFonts w:ascii="Times New Roman" w:hAnsi="Times New Roman"/>
          <w:sz w:val="24"/>
          <w:szCs w:val="24"/>
          <w:vertAlign w:val="subscript"/>
          <w:lang w:val="fr-FR"/>
        </w:rPr>
        <w:t>10</w:t>
      </w:r>
      <w:r>
        <w:rPr>
          <w:rFonts w:ascii="Times New Roman" w:hAnsi="Times New Roman"/>
          <w:sz w:val="24"/>
          <w:szCs w:val="24"/>
          <w:lang w:val="fr-FR"/>
        </w:rPr>
        <w:t xml:space="preserve"> = (T </w:t>
      </w:r>
      <w:proofErr w:type="spellStart"/>
      <w:r>
        <w:rPr>
          <w:rFonts w:ascii="Times New Roman" w:hAnsi="Times New Roman"/>
          <w:sz w:val="24"/>
          <w:szCs w:val="24"/>
          <w:vertAlign w:val="subscript"/>
          <w:lang w:val="fr-FR"/>
        </w:rPr>
        <w:t>i.esimo</w:t>
      </w:r>
      <w:proofErr w:type="spellEnd"/>
      <w:r>
        <w:rPr>
          <w:rFonts w:ascii="Times New Roman" w:hAnsi="Times New Roman"/>
          <w:sz w:val="24"/>
          <w:szCs w:val="24"/>
          <w:lang w:val="fr-FR"/>
        </w:rPr>
        <w:t xml:space="preserve"> / T </w:t>
      </w:r>
      <w:r>
        <w:rPr>
          <w:rFonts w:ascii="Times New Roman" w:hAnsi="Times New Roman"/>
          <w:sz w:val="24"/>
          <w:szCs w:val="24"/>
          <w:vertAlign w:val="subscript"/>
          <w:lang w:val="fr-FR"/>
        </w:rPr>
        <w:t>max</w:t>
      </w:r>
      <w:r>
        <w:rPr>
          <w:rFonts w:ascii="Times New Roman" w:hAnsi="Times New Roman"/>
          <w:sz w:val="24"/>
          <w:szCs w:val="24"/>
          <w:lang w:val="fr-FR"/>
        </w:rPr>
        <w:t>) x [2]</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Dove:</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T </w:t>
      </w:r>
      <w:proofErr w:type="spellStart"/>
      <w:r>
        <w:rPr>
          <w:rFonts w:ascii="Times New Roman" w:hAnsi="Times New Roman"/>
          <w:sz w:val="24"/>
          <w:szCs w:val="24"/>
          <w:vertAlign w:val="subscript"/>
        </w:rPr>
        <w:t>i.esimo</w:t>
      </w:r>
      <w:proofErr w:type="spellEnd"/>
      <w:r>
        <w:rPr>
          <w:rFonts w:ascii="Times New Roman" w:hAnsi="Times New Roman"/>
          <w:sz w:val="24"/>
          <w:szCs w:val="24"/>
        </w:rPr>
        <w:t xml:space="preserve"> = tasso offerto dal concorrente </w:t>
      </w:r>
      <w:proofErr w:type="spellStart"/>
      <w:r>
        <w:rPr>
          <w:rFonts w:ascii="Times New Roman" w:hAnsi="Times New Roman"/>
          <w:sz w:val="24"/>
          <w:szCs w:val="24"/>
        </w:rPr>
        <w:t>i.esimo</w:t>
      </w:r>
      <w:proofErr w:type="spellEnd"/>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T </w:t>
      </w:r>
      <w:proofErr w:type="spellStart"/>
      <w:r>
        <w:rPr>
          <w:rFonts w:ascii="Times New Roman" w:hAnsi="Times New Roman"/>
          <w:sz w:val="24"/>
          <w:szCs w:val="24"/>
          <w:vertAlign w:val="subscript"/>
        </w:rPr>
        <w:t>max</w:t>
      </w:r>
      <w:proofErr w:type="spellEnd"/>
      <w:r>
        <w:rPr>
          <w:rFonts w:ascii="Times New Roman" w:hAnsi="Times New Roman"/>
          <w:sz w:val="24"/>
          <w:szCs w:val="24"/>
        </w:rPr>
        <w:tab/>
        <w:t>= tasso più alto tra quelli offerti dai concorrenti ammessi alla fase di valutazione delle offerte economiche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Si precisa che tale punteggio sarà attribuito in funzione del valore complessivo dato dal tasso EURIBOR 365 a 3 mesi, media mese precedente, la cui liquidazione ha luogo con cadenza trimestrale ed i punti percentuali in aumento/diminuzione offerti dal Gestore.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merito economico di cui ai Punti 11 e 12 – “PE</w:t>
      </w:r>
      <w:r>
        <w:rPr>
          <w:rFonts w:ascii="Times New Roman" w:hAnsi="Times New Roman"/>
          <w:sz w:val="24"/>
          <w:szCs w:val="24"/>
          <w:vertAlign w:val="subscript"/>
        </w:rPr>
        <w:t>11</w:t>
      </w:r>
      <w:r>
        <w:rPr>
          <w:rFonts w:ascii="Times New Roman" w:hAnsi="Times New Roman"/>
          <w:sz w:val="24"/>
          <w:szCs w:val="24"/>
        </w:rPr>
        <w:t>” e “PE</w:t>
      </w:r>
      <w:r>
        <w:rPr>
          <w:rFonts w:ascii="Times New Roman" w:hAnsi="Times New Roman"/>
          <w:sz w:val="24"/>
          <w:szCs w:val="24"/>
          <w:vertAlign w:val="subscript"/>
        </w:rPr>
        <w:t>12</w:t>
      </w:r>
      <w:r>
        <w:rPr>
          <w:rFonts w:ascii="Times New Roman" w:hAnsi="Times New Roman"/>
          <w:sz w:val="24"/>
          <w:szCs w:val="24"/>
        </w:rPr>
        <w:t>” - sarà attribuito sulla base della seguente formula:</w:t>
      </w:r>
    </w:p>
    <w:p w:rsidR="00D173D4" w:rsidRDefault="00D173D4">
      <w:pPr>
        <w:spacing w:before="120" w:after="120" w:line="240" w:lineRule="auto"/>
        <w:jc w:val="both"/>
        <w:rPr>
          <w:rFonts w:ascii="Times New Roman" w:hAnsi="Times New Roman"/>
          <w:sz w:val="24"/>
          <w:szCs w:val="24"/>
          <w:lang w:val="fr-FR"/>
        </w:rPr>
      </w:pPr>
      <w:r>
        <w:rPr>
          <w:rFonts w:ascii="Times New Roman" w:hAnsi="Times New Roman"/>
          <w:sz w:val="24"/>
          <w:szCs w:val="24"/>
          <w:lang w:val="fr-FR"/>
        </w:rPr>
        <w:t>PE</w:t>
      </w:r>
      <w:r>
        <w:rPr>
          <w:rFonts w:ascii="Times New Roman" w:hAnsi="Times New Roman"/>
          <w:sz w:val="24"/>
          <w:szCs w:val="24"/>
          <w:vertAlign w:val="subscript"/>
          <w:lang w:val="fr-FR"/>
        </w:rPr>
        <w:t>11, 12</w:t>
      </w:r>
      <w:r>
        <w:rPr>
          <w:rFonts w:ascii="Times New Roman" w:hAnsi="Times New Roman"/>
          <w:sz w:val="24"/>
          <w:szCs w:val="24"/>
          <w:lang w:val="fr-FR"/>
        </w:rPr>
        <w:t xml:space="preserve"> = [(T </w:t>
      </w:r>
      <w:r>
        <w:rPr>
          <w:rFonts w:ascii="Times New Roman" w:hAnsi="Times New Roman"/>
          <w:sz w:val="24"/>
          <w:szCs w:val="24"/>
          <w:vertAlign w:val="subscript"/>
          <w:lang w:val="fr-FR"/>
        </w:rPr>
        <w:t>max</w:t>
      </w:r>
      <w:r>
        <w:rPr>
          <w:rFonts w:ascii="Times New Roman" w:hAnsi="Times New Roman"/>
          <w:sz w:val="24"/>
          <w:szCs w:val="24"/>
          <w:lang w:val="fr-FR"/>
        </w:rPr>
        <w:t xml:space="preserve"> - T </w:t>
      </w:r>
      <w:proofErr w:type="spellStart"/>
      <w:r>
        <w:rPr>
          <w:rFonts w:ascii="Times New Roman" w:hAnsi="Times New Roman"/>
          <w:sz w:val="24"/>
          <w:szCs w:val="24"/>
          <w:vertAlign w:val="subscript"/>
          <w:lang w:val="fr-FR"/>
        </w:rPr>
        <w:t>i.esimo</w:t>
      </w:r>
      <w:proofErr w:type="spellEnd"/>
      <w:r>
        <w:rPr>
          <w:rFonts w:ascii="Times New Roman" w:hAnsi="Times New Roman"/>
          <w:sz w:val="24"/>
          <w:szCs w:val="24"/>
          <w:lang w:val="fr-FR"/>
        </w:rPr>
        <w:t xml:space="preserve">) / (T </w:t>
      </w:r>
      <w:r>
        <w:rPr>
          <w:rFonts w:ascii="Times New Roman" w:hAnsi="Times New Roman"/>
          <w:sz w:val="24"/>
          <w:szCs w:val="24"/>
          <w:vertAlign w:val="subscript"/>
          <w:lang w:val="fr-FR"/>
        </w:rPr>
        <w:t>max</w:t>
      </w:r>
      <w:r>
        <w:rPr>
          <w:rFonts w:ascii="Times New Roman" w:hAnsi="Times New Roman"/>
          <w:sz w:val="24"/>
          <w:szCs w:val="24"/>
          <w:lang w:val="fr-FR"/>
        </w:rPr>
        <w:t xml:space="preserve"> - T </w:t>
      </w:r>
      <w:r>
        <w:rPr>
          <w:rFonts w:ascii="Times New Roman" w:hAnsi="Times New Roman"/>
          <w:sz w:val="24"/>
          <w:szCs w:val="24"/>
          <w:vertAlign w:val="subscript"/>
          <w:lang w:val="fr-FR"/>
        </w:rPr>
        <w:t>min</w:t>
      </w:r>
      <w:r>
        <w:rPr>
          <w:rFonts w:ascii="Times New Roman" w:hAnsi="Times New Roman"/>
          <w:sz w:val="24"/>
          <w:szCs w:val="24"/>
          <w:lang w:val="fr-FR"/>
        </w:rPr>
        <w:t>)] x […]</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Dove:</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T </w:t>
      </w:r>
      <w:proofErr w:type="spellStart"/>
      <w:r>
        <w:rPr>
          <w:rFonts w:ascii="Times New Roman" w:hAnsi="Times New Roman"/>
          <w:sz w:val="24"/>
          <w:szCs w:val="24"/>
          <w:vertAlign w:val="subscript"/>
        </w:rPr>
        <w:t>i.esimo</w:t>
      </w:r>
      <w:proofErr w:type="spellEnd"/>
      <w:r>
        <w:rPr>
          <w:rFonts w:ascii="Times New Roman" w:hAnsi="Times New Roman"/>
          <w:sz w:val="24"/>
          <w:szCs w:val="24"/>
        </w:rPr>
        <w:t xml:space="preserve"> = tasso offerto dal concorrente </w:t>
      </w:r>
      <w:proofErr w:type="spellStart"/>
      <w:r>
        <w:rPr>
          <w:rFonts w:ascii="Times New Roman" w:hAnsi="Times New Roman"/>
          <w:sz w:val="24"/>
          <w:szCs w:val="24"/>
          <w:vertAlign w:val="subscript"/>
        </w:rPr>
        <w:t>i.esimo</w:t>
      </w:r>
      <w:proofErr w:type="spellEnd"/>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lastRenderedPageBreak/>
        <w:t xml:space="preserve">T </w:t>
      </w:r>
      <w:proofErr w:type="spellStart"/>
      <w:r>
        <w:rPr>
          <w:rFonts w:ascii="Times New Roman" w:hAnsi="Times New Roman"/>
          <w:sz w:val="24"/>
          <w:szCs w:val="24"/>
          <w:vertAlign w:val="subscript"/>
        </w:rPr>
        <w:t>max</w:t>
      </w:r>
      <w:proofErr w:type="spellEnd"/>
      <w:r>
        <w:rPr>
          <w:rFonts w:ascii="Times New Roman" w:hAnsi="Times New Roman"/>
          <w:sz w:val="24"/>
          <w:szCs w:val="24"/>
        </w:rPr>
        <w:tab/>
        <w:t>= tasso più alto tra quelli offerti dai concorrenti ammessi alla fase di valutazione delle offerte economiche</w:t>
      </w:r>
    </w:p>
    <w:p w:rsidR="00B0680C" w:rsidRDefault="00B0680C">
      <w:pPr>
        <w:spacing w:before="120" w:after="120" w:line="240" w:lineRule="auto"/>
        <w:jc w:val="both"/>
        <w:rPr>
          <w:rFonts w:ascii="Times New Roman" w:hAnsi="Times New Roman"/>
          <w:sz w:val="24"/>
          <w:szCs w:val="24"/>
        </w:rPr>
      </w:pPr>
    </w:p>
    <w:p w:rsidR="00B0680C" w:rsidRDefault="00B0680C">
      <w:pPr>
        <w:spacing w:before="120" w:after="120" w:line="240" w:lineRule="auto"/>
        <w:jc w:val="both"/>
        <w:rPr>
          <w:rFonts w:ascii="Times New Roman" w:hAnsi="Times New Roman"/>
          <w:sz w:val="24"/>
          <w:szCs w:val="24"/>
        </w:rPr>
      </w:pP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T </w:t>
      </w:r>
      <w:r>
        <w:rPr>
          <w:rFonts w:ascii="Times New Roman" w:hAnsi="Times New Roman"/>
          <w:sz w:val="24"/>
          <w:szCs w:val="24"/>
          <w:vertAlign w:val="subscript"/>
        </w:rPr>
        <w:t>min</w:t>
      </w:r>
      <w:r>
        <w:rPr>
          <w:rFonts w:ascii="Times New Roman" w:hAnsi="Times New Roman"/>
          <w:sz w:val="24"/>
          <w:szCs w:val="24"/>
        </w:rPr>
        <w:tab/>
        <w:t>= tasso più basso tra quelli offerti dai concorrenti ammessi alla fase di valutazione delle offerte economiche</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Si precisa che tale punteggio sarà attribuito in funzione del valore complessivo dato dal tasso EURIBOR 365 a 1 mese, la cui liquidazione ha luogo con cadenza trimestrale ed i punti percentuali in aumento/diminuzione offerti dal Gestore.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Per i punti 1, 2, 5, 6, 7, 8, 9, 13, 14, 15, 16 e 17 in caso di servizio offerto al valore pari a € 0,00 (zero) sarà attribuito il punteggio massimo sopra indicato.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Per il punto 18 in caso di servizio offerto al valore pari a 0,00 % (zero) sarà attribuito il punteggio massimo sopra indicato.</w:t>
      </w:r>
    </w:p>
    <w:p w:rsidR="00D173D4" w:rsidRDefault="00D173D4">
      <w:pPr>
        <w:jc w:val="both"/>
        <w:rPr>
          <w:rFonts w:ascii="Times New Roman" w:hAnsi="Times New Roman"/>
          <w:sz w:val="24"/>
        </w:rPr>
      </w:pPr>
      <w:r>
        <w:rPr>
          <w:rFonts w:ascii="Times New Roman" w:hAnsi="Times New Roman"/>
          <w:sz w:val="24"/>
        </w:rPr>
        <w:t>Il merito economico di cui al punto 19 – “PE</w:t>
      </w:r>
      <w:r>
        <w:rPr>
          <w:rFonts w:ascii="Times New Roman" w:hAnsi="Times New Roman"/>
          <w:sz w:val="24"/>
          <w:vertAlign w:val="subscript"/>
        </w:rPr>
        <w:t xml:space="preserve">19 </w:t>
      </w:r>
      <w:r>
        <w:rPr>
          <w:rFonts w:ascii="Times New Roman" w:hAnsi="Times New Roman"/>
          <w:sz w:val="24"/>
        </w:rPr>
        <w:t>“sarà attribuito sulla base del seguente criterio:</w:t>
      </w:r>
    </w:p>
    <w:p w:rsidR="00D173D4" w:rsidRDefault="00D173D4">
      <w:pPr>
        <w:jc w:val="both"/>
        <w:rPr>
          <w:rFonts w:ascii="Times New Roman" w:hAnsi="Times New Roman"/>
          <w:sz w:val="24"/>
        </w:rPr>
      </w:pPr>
      <w:r>
        <w:rPr>
          <w:rFonts w:ascii="Times New Roman" w:hAnsi="Times New Roman"/>
          <w:sz w:val="24"/>
        </w:rPr>
        <w:t>Nessun contributo – Punti 0</w:t>
      </w:r>
    </w:p>
    <w:p w:rsidR="00D173D4" w:rsidRDefault="00D173D4">
      <w:pPr>
        <w:jc w:val="both"/>
        <w:rPr>
          <w:rFonts w:ascii="Times New Roman" w:hAnsi="Times New Roman"/>
          <w:sz w:val="24"/>
        </w:rPr>
      </w:pPr>
      <w:r>
        <w:rPr>
          <w:rFonts w:ascii="Times New Roman" w:hAnsi="Times New Roman"/>
          <w:sz w:val="24"/>
        </w:rPr>
        <w:t>Contributo da €. 100,00 ad €. 300,00 – Punti 1</w:t>
      </w:r>
    </w:p>
    <w:p w:rsidR="00D173D4" w:rsidRDefault="00D173D4" w:rsidP="00FA6C24">
      <w:pPr>
        <w:jc w:val="both"/>
        <w:rPr>
          <w:rFonts w:ascii="Times New Roman" w:hAnsi="Times New Roman"/>
          <w:sz w:val="24"/>
          <w:szCs w:val="24"/>
        </w:rPr>
      </w:pPr>
      <w:r>
        <w:rPr>
          <w:rFonts w:ascii="Times New Roman" w:hAnsi="Times New Roman"/>
          <w:sz w:val="24"/>
        </w:rPr>
        <w:t>Contributo superiore ad €. 300,00 – Punti 2</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Il Punteggio Totale </w:t>
      </w:r>
      <w:r>
        <w:rPr>
          <w:rFonts w:ascii="Times New Roman" w:hAnsi="Times New Roman"/>
          <w:b/>
          <w:sz w:val="24"/>
          <w:szCs w:val="24"/>
        </w:rPr>
        <w:t xml:space="preserve">PTOT </w:t>
      </w:r>
      <w:r>
        <w:rPr>
          <w:rFonts w:ascii="Times New Roman" w:hAnsi="Times New Roman"/>
          <w:sz w:val="24"/>
          <w:szCs w:val="24"/>
        </w:rPr>
        <w:t xml:space="preserve">attribuito a ciascuna offerta sarà uguale a </w:t>
      </w:r>
      <w:proofErr w:type="spellStart"/>
      <w:r>
        <w:rPr>
          <w:rFonts w:ascii="Times New Roman" w:hAnsi="Times New Roman"/>
          <w:sz w:val="24"/>
          <w:szCs w:val="24"/>
        </w:rPr>
        <w:t>PTi</w:t>
      </w:r>
      <w:proofErr w:type="spellEnd"/>
      <w:r>
        <w:rPr>
          <w:rFonts w:ascii="Times New Roman" w:hAnsi="Times New Roman"/>
          <w:sz w:val="24"/>
          <w:szCs w:val="24"/>
        </w:rPr>
        <w:t xml:space="preserve"> + </w:t>
      </w:r>
      <w:proofErr w:type="spellStart"/>
      <w:r>
        <w:rPr>
          <w:rFonts w:ascii="Times New Roman" w:hAnsi="Times New Roman"/>
          <w:sz w:val="24"/>
          <w:szCs w:val="24"/>
        </w:rPr>
        <w:t>PEi</w:t>
      </w:r>
      <w:proofErr w:type="spellEnd"/>
      <w:r>
        <w:rPr>
          <w:rFonts w:ascii="Times New Roman" w:hAnsi="Times New Roman"/>
          <w:sz w:val="24"/>
          <w:szCs w:val="24"/>
        </w:rPr>
        <w:t>, dove</w:t>
      </w:r>
    </w:p>
    <w:p w:rsidR="00D173D4" w:rsidRDefault="00D173D4">
      <w:pPr>
        <w:spacing w:before="120" w:after="120" w:line="360" w:lineRule="auto"/>
        <w:jc w:val="both"/>
        <w:rPr>
          <w:rFonts w:ascii="Times New Roman" w:hAnsi="Times New Roman"/>
          <w:sz w:val="24"/>
          <w:szCs w:val="24"/>
        </w:rPr>
      </w:pPr>
      <w:proofErr w:type="spellStart"/>
      <w:r>
        <w:rPr>
          <w:rFonts w:ascii="Times New Roman" w:hAnsi="Times New Roman"/>
          <w:sz w:val="24"/>
          <w:szCs w:val="24"/>
        </w:rPr>
        <w:t>PTi</w:t>
      </w:r>
      <w:proofErr w:type="spellEnd"/>
      <w:r>
        <w:rPr>
          <w:rFonts w:ascii="Times New Roman" w:hAnsi="Times New Roman"/>
          <w:sz w:val="24"/>
          <w:szCs w:val="24"/>
        </w:rPr>
        <w:t xml:space="preserve"> = somma dei punteggi di merito tecnico dell’Offerta </w:t>
      </w:r>
      <w:proofErr w:type="spellStart"/>
      <w:r>
        <w:rPr>
          <w:rFonts w:ascii="Times New Roman" w:hAnsi="Times New Roman"/>
          <w:sz w:val="24"/>
          <w:szCs w:val="24"/>
        </w:rPr>
        <w:t>i.esima</w:t>
      </w:r>
      <w:proofErr w:type="spellEnd"/>
    </w:p>
    <w:p w:rsidR="00D173D4" w:rsidRDefault="00D173D4">
      <w:pPr>
        <w:spacing w:before="120" w:after="120" w:line="360" w:lineRule="auto"/>
        <w:jc w:val="both"/>
        <w:rPr>
          <w:rFonts w:ascii="Times New Roman" w:hAnsi="Times New Roman"/>
          <w:sz w:val="24"/>
          <w:szCs w:val="24"/>
        </w:rPr>
      </w:pPr>
      <w:proofErr w:type="spellStart"/>
      <w:r>
        <w:rPr>
          <w:rFonts w:ascii="Times New Roman" w:hAnsi="Times New Roman"/>
          <w:sz w:val="24"/>
          <w:szCs w:val="24"/>
        </w:rPr>
        <w:t>PEi</w:t>
      </w:r>
      <w:proofErr w:type="spellEnd"/>
      <w:r>
        <w:rPr>
          <w:rFonts w:ascii="Times New Roman" w:hAnsi="Times New Roman"/>
          <w:sz w:val="24"/>
          <w:szCs w:val="24"/>
        </w:rPr>
        <w:t xml:space="preserve"> = somma dei punteggi di merito economico dell’Offerta </w:t>
      </w:r>
      <w:proofErr w:type="spellStart"/>
      <w:r>
        <w:rPr>
          <w:rFonts w:ascii="Times New Roman" w:hAnsi="Times New Roman"/>
          <w:sz w:val="24"/>
          <w:szCs w:val="24"/>
        </w:rPr>
        <w:t>i.esima</w:t>
      </w:r>
      <w:proofErr w:type="spellEnd"/>
      <w:r>
        <w:rPr>
          <w:rFonts w:ascii="Times New Roman" w:hAnsi="Times New Roman"/>
          <w:sz w:val="24"/>
          <w:szCs w:val="24"/>
        </w:rPr>
        <w:t xml:space="preserve">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In particolare:</w:t>
      </w:r>
    </w:p>
    <w:p w:rsidR="00D173D4" w:rsidRDefault="00D173D4">
      <w:pPr>
        <w:pStyle w:val="Paragrafoelenco1"/>
        <w:numPr>
          <w:ilvl w:val="0"/>
          <w:numId w:val="18"/>
        </w:numPr>
        <w:spacing w:before="120" w:after="120" w:line="360" w:lineRule="auto"/>
        <w:jc w:val="both"/>
        <w:rPr>
          <w:rFonts w:ascii="Times New Roman" w:hAnsi="Times New Roman"/>
          <w:sz w:val="24"/>
          <w:szCs w:val="24"/>
        </w:rPr>
      </w:pPr>
      <w:r>
        <w:rPr>
          <w:rFonts w:ascii="Times New Roman" w:hAnsi="Times New Roman"/>
          <w:sz w:val="24"/>
          <w:szCs w:val="24"/>
        </w:rPr>
        <w:t xml:space="preserve">il punteggio di merito tecnico </w:t>
      </w:r>
      <w:proofErr w:type="spellStart"/>
      <w:r>
        <w:rPr>
          <w:rFonts w:ascii="Times New Roman" w:hAnsi="Times New Roman"/>
          <w:sz w:val="24"/>
          <w:szCs w:val="24"/>
        </w:rPr>
        <w:t>PTi</w:t>
      </w:r>
      <w:proofErr w:type="spellEnd"/>
      <w:r>
        <w:rPr>
          <w:rFonts w:ascii="Times New Roman" w:hAnsi="Times New Roman"/>
          <w:sz w:val="24"/>
          <w:szCs w:val="24"/>
        </w:rPr>
        <w:t xml:space="preserve"> sarà calcolato sommando i punteggi conseguiti per ciascun criterio di valutazione sopra indicato (tabella A).</w:t>
      </w:r>
    </w:p>
    <w:p w:rsidR="00D173D4" w:rsidRDefault="00D173D4">
      <w:pPr>
        <w:pStyle w:val="Paragrafoelenco1"/>
        <w:numPr>
          <w:ilvl w:val="0"/>
          <w:numId w:val="18"/>
        </w:numPr>
        <w:spacing w:before="120" w:after="120" w:line="360" w:lineRule="auto"/>
        <w:jc w:val="both"/>
        <w:rPr>
          <w:rFonts w:ascii="Times New Roman" w:hAnsi="Times New Roman"/>
          <w:sz w:val="24"/>
          <w:szCs w:val="24"/>
        </w:rPr>
      </w:pPr>
      <w:r>
        <w:rPr>
          <w:rFonts w:ascii="Times New Roman" w:hAnsi="Times New Roman"/>
          <w:sz w:val="24"/>
          <w:szCs w:val="24"/>
        </w:rPr>
        <w:t xml:space="preserve">il punteggio di merito economico </w:t>
      </w:r>
      <w:proofErr w:type="spellStart"/>
      <w:r>
        <w:rPr>
          <w:rFonts w:ascii="Times New Roman" w:hAnsi="Times New Roman"/>
          <w:sz w:val="24"/>
          <w:szCs w:val="24"/>
        </w:rPr>
        <w:t>PEi</w:t>
      </w:r>
      <w:proofErr w:type="spellEnd"/>
      <w:r>
        <w:rPr>
          <w:rFonts w:ascii="Times New Roman" w:hAnsi="Times New Roman"/>
          <w:sz w:val="24"/>
          <w:szCs w:val="24"/>
        </w:rPr>
        <w:t>, verrà attribuito sommando i punteggi conseguiti per ciascun criterio di valutazione sopra indicato (tabella B).</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Si precisa che i valori offerti dovranno essere espressi con un numero di cifre decimali non superiore a 2 (due). In caso di valori espressi con cifre decimali maggiori di due l’Istituto procederà a troncare gli stessi alla seconda cifra decimale senza alcun arrotondamento.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lastRenderedPageBreak/>
        <w:t>Si precisa altresì che sarà insindacabile diritto dell’Istituto quello di procedere all’aggiudicazione anche nel caso di una sola offerta valida, nonché quello di non procedervi affatto, qualora nessuna offerta risultasse conveniente o idonea in relazione all’oggetto del presente Capitolato Tecnico.</w:t>
      </w:r>
    </w:p>
    <w:p w:rsidR="00566FBB" w:rsidRDefault="00566FBB" w:rsidP="00FA6C24">
      <w:pPr>
        <w:spacing w:before="120" w:after="120" w:line="360" w:lineRule="auto"/>
        <w:jc w:val="center"/>
        <w:rPr>
          <w:rFonts w:ascii="Times New Roman" w:hAnsi="Times New Roman"/>
          <w:sz w:val="24"/>
          <w:szCs w:val="24"/>
        </w:rPr>
      </w:pPr>
      <w:r>
        <w:rPr>
          <w:rFonts w:ascii="Times New Roman" w:hAnsi="Times New Roman"/>
          <w:sz w:val="24"/>
          <w:szCs w:val="24"/>
        </w:rPr>
        <w:t>IL DIRIGENTE SCOLASTICO</w:t>
      </w:r>
    </w:p>
    <w:p w:rsidR="00566FBB" w:rsidRDefault="00566FBB" w:rsidP="00FA6C24">
      <w:pPr>
        <w:spacing w:before="120" w:after="120" w:line="360" w:lineRule="auto"/>
        <w:jc w:val="center"/>
        <w:rPr>
          <w:rFonts w:ascii="Times New Roman" w:hAnsi="Times New Roman"/>
          <w:sz w:val="24"/>
          <w:szCs w:val="24"/>
        </w:rPr>
      </w:pPr>
      <w:proofErr w:type="spellStart"/>
      <w:r>
        <w:rPr>
          <w:rFonts w:ascii="Times New Roman" w:hAnsi="Times New Roman"/>
          <w:sz w:val="24"/>
          <w:szCs w:val="24"/>
        </w:rPr>
        <w:t>DOTT.SSA</w:t>
      </w:r>
      <w:proofErr w:type="spellEnd"/>
      <w:r>
        <w:rPr>
          <w:rFonts w:ascii="Times New Roman" w:hAnsi="Times New Roman"/>
          <w:sz w:val="24"/>
          <w:szCs w:val="24"/>
        </w:rPr>
        <w:t xml:space="preserve"> MARIA ROSA MONTEROSSO</w:t>
      </w:r>
    </w:p>
    <w:p w:rsidR="000C1328" w:rsidRDefault="000C1328" w:rsidP="00094634">
      <w:pPr>
        <w:jc w:val="center"/>
        <w:rPr>
          <w:sz w:val="16"/>
          <w:szCs w:val="16"/>
        </w:rPr>
      </w:pPr>
      <w:r>
        <w:rPr>
          <w:sz w:val="16"/>
          <w:szCs w:val="16"/>
        </w:rPr>
        <w:t xml:space="preserve">Firma autografa sostituita a mezzo stampa ex art. 3, c. 2 </w:t>
      </w:r>
      <w:proofErr w:type="spellStart"/>
      <w:r>
        <w:rPr>
          <w:sz w:val="16"/>
          <w:szCs w:val="16"/>
        </w:rPr>
        <w:t>D.Lgs</w:t>
      </w:r>
      <w:proofErr w:type="spellEnd"/>
      <w:r>
        <w:rPr>
          <w:sz w:val="16"/>
          <w:szCs w:val="16"/>
        </w:rPr>
        <w:t xml:space="preserve"> n. 39/93</w:t>
      </w:r>
    </w:p>
    <w:p w:rsidR="000C1328" w:rsidRDefault="000C1328" w:rsidP="00FA6C24">
      <w:pPr>
        <w:spacing w:before="120" w:after="120" w:line="360" w:lineRule="auto"/>
        <w:jc w:val="center"/>
        <w:rPr>
          <w:rFonts w:ascii="Times New Roman" w:hAnsi="Times New Roman"/>
          <w:sz w:val="24"/>
          <w:szCs w:val="24"/>
        </w:rPr>
      </w:pPr>
    </w:p>
    <w:p w:rsidR="00566FBB" w:rsidRDefault="00566FBB">
      <w:pPr>
        <w:spacing w:before="120" w:after="120" w:line="360" w:lineRule="auto"/>
        <w:jc w:val="both"/>
        <w:rPr>
          <w:rFonts w:ascii="Times New Roman" w:hAnsi="Times New Roman"/>
          <w:sz w:val="24"/>
          <w:szCs w:val="24"/>
        </w:rPr>
      </w:pPr>
    </w:p>
    <w:p w:rsidR="00D173D4" w:rsidRDefault="00D173D4">
      <w:pPr>
        <w:spacing w:before="120" w:after="120" w:line="360" w:lineRule="auto"/>
        <w:jc w:val="both"/>
        <w:rPr>
          <w:rFonts w:ascii="Times New Roman" w:hAnsi="Times New Roman"/>
          <w:sz w:val="24"/>
          <w:szCs w:val="24"/>
        </w:rPr>
      </w:pPr>
    </w:p>
    <w:sectPr w:rsidR="00D173D4" w:rsidSect="0029236D">
      <w:footerReference w:type="default" r:id="rId7"/>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7BE" w:rsidRDefault="006317BE">
      <w:pPr>
        <w:spacing w:after="0" w:line="240" w:lineRule="auto"/>
      </w:pPr>
      <w:r>
        <w:separator/>
      </w:r>
    </w:p>
  </w:endnote>
  <w:endnote w:type="continuationSeparator" w:id="0">
    <w:p w:rsidR="006317BE" w:rsidRDefault="00631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D4" w:rsidRDefault="000D267B">
    <w:pPr>
      <w:pStyle w:val="Pidipagina"/>
      <w:jc w:val="right"/>
    </w:pPr>
    <w:r>
      <w:rPr>
        <w:sz w:val="18"/>
        <w:szCs w:val="18"/>
      </w:rPr>
      <w:fldChar w:fldCharType="begin"/>
    </w:r>
    <w:r w:rsidR="00D173D4">
      <w:rPr>
        <w:sz w:val="18"/>
        <w:szCs w:val="18"/>
      </w:rPr>
      <w:instrText xml:space="preserve"> PAGE   \* MERGEFORMAT </w:instrText>
    </w:r>
    <w:r>
      <w:rPr>
        <w:sz w:val="18"/>
        <w:szCs w:val="18"/>
      </w:rPr>
      <w:fldChar w:fldCharType="separate"/>
    </w:r>
    <w:r w:rsidR="00094634">
      <w:rPr>
        <w:noProof/>
        <w:sz w:val="18"/>
        <w:szCs w:val="18"/>
      </w:rPr>
      <w:t>17</w:t>
    </w:r>
    <w:r>
      <w:rPr>
        <w:sz w:val="18"/>
        <w:szCs w:val="18"/>
      </w:rPr>
      <w:fldChar w:fldCharType="end"/>
    </w:r>
  </w:p>
  <w:p w:rsidR="00D173D4" w:rsidRDefault="00D173D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7BE" w:rsidRDefault="006317BE">
      <w:pPr>
        <w:spacing w:after="0" w:line="240" w:lineRule="auto"/>
      </w:pPr>
      <w:r>
        <w:separator/>
      </w:r>
    </w:p>
  </w:footnote>
  <w:footnote w:type="continuationSeparator" w:id="0">
    <w:p w:rsidR="006317BE" w:rsidRDefault="006317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6A58"/>
    <w:multiLevelType w:val="singleLevel"/>
    <w:tmpl w:val="67B4C9B0"/>
    <w:lvl w:ilvl="0">
      <w:start w:val="1"/>
      <w:numFmt w:val="bullet"/>
      <w:lvlText w:val=""/>
      <w:lvlJc w:val="left"/>
      <w:pPr>
        <w:tabs>
          <w:tab w:val="num" w:pos="340"/>
        </w:tabs>
        <w:ind w:left="340" w:hanging="340"/>
      </w:pPr>
      <w:rPr>
        <w:rFonts w:ascii="Symbol" w:hAnsi="Symbol" w:hint="default"/>
        <w:color w:val="auto"/>
        <w:sz w:val="22"/>
      </w:rPr>
    </w:lvl>
  </w:abstractNum>
  <w:abstractNum w:abstractNumId="1">
    <w:nsid w:val="08530E87"/>
    <w:multiLevelType w:val="multilevel"/>
    <w:tmpl w:val="2CA05564"/>
    <w:lvl w:ilvl="0">
      <w:start w:val="2"/>
      <w:numFmt w:val="decimal"/>
      <w:lvlText w:val="%1"/>
      <w:lvlJc w:val="left"/>
      <w:pPr>
        <w:ind w:left="360" w:hanging="360"/>
      </w:pPr>
      <w:rPr>
        <w:rFonts w:cs="Times New Roman" w:hint="default"/>
        <w:b/>
      </w:rPr>
    </w:lvl>
    <w:lvl w:ilvl="1">
      <w:start w:val="1"/>
      <w:numFmt w:val="decimal"/>
      <w:lvlText w:val="%1.%2"/>
      <w:lvlJc w:val="left"/>
      <w:pPr>
        <w:ind w:left="1004" w:hanging="720"/>
      </w:pPr>
      <w:rPr>
        <w:rFonts w:cs="Times New Roman" w:hint="default"/>
        <w:b/>
      </w:rPr>
    </w:lvl>
    <w:lvl w:ilvl="2">
      <w:start w:val="1"/>
      <w:numFmt w:val="decimal"/>
      <w:lvlText w:val="%1.%2.%3"/>
      <w:lvlJc w:val="left"/>
      <w:pPr>
        <w:ind w:left="1288" w:hanging="720"/>
      </w:pPr>
      <w:rPr>
        <w:rFonts w:cs="Times New Roman" w:hint="default"/>
        <w:b/>
      </w:rPr>
    </w:lvl>
    <w:lvl w:ilvl="3">
      <w:start w:val="1"/>
      <w:numFmt w:val="decimal"/>
      <w:lvlText w:val="%1.%2.%3.%4"/>
      <w:lvlJc w:val="left"/>
      <w:pPr>
        <w:ind w:left="1932" w:hanging="1080"/>
      </w:pPr>
      <w:rPr>
        <w:rFonts w:cs="Times New Roman" w:hint="default"/>
        <w:b/>
      </w:rPr>
    </w:lvl>
    <w:lvl w:ilvl="4">
      <w:start w:val="1"/>
      <w:numFmt w:val="decimal"/>
      <w:lvlText w:val="%1.%2.%3.%4.%5"/>
      <w:lvlJc w:val="left"/>
      <w:pPr>
        <w:ind w:left="2576" w:hanging="1440"/>
      </w:pPr>
      <w:rPr>
        <w:rFonts w:cs="Times New Roman" w:hint="default"/>
        <w:b/>
      </w:rPr>
    </w:lvl>
    <w:lvl w:ilvl="5">
      <w:start w:val="1"/>
      <w:numFmt w:val="decimal"/>
      <w:lvlText w:val="%1.%2.%3.%4.%5.%6"/>
      <w:lvlJc w:val="left"/>
      <w:pPr>
        <w:ind w:left="2860" w:hanging="1440"/>
      </w:pPr>
      <w:rPr>
        <w:rFonts w:cs="Times New Roman" w:hint="default"/>
        <w:b/>
      </w:rPr>
    </w:lvl>
    <w:lvl w:ilvl="6">
      <w:start w:val="1"/>
      <w:numFmt w:val="decimal"/>
      <w:lvlText w:val="%1.%2.%3.%4.%5.%6.%7"/>
      <w:lvlJc w:val="left"/>
      <w:pPr>
        <w:ind w:left="3504" w:hanging="1800"/>
      </w:pPr>
      <w:rPr>
        <w:rFonts w:cs="Times New Roman" w:hint="default"/>
        <w:b/>
      </w:rPr>
    </w:lvl>
    <w:lvl w:ilvl="7">
      <w:start w:val="1"/>
      <w:numFmt w:val="decimal"/>
      <w:lvlText w:val="%1.%2.%3.%4.%5.%6.%7.%8"/>
      <w:lvlJc w:val="left"/>
      <w:pPr>
        <w:ind w:left="4148" w:hanging="2160"/>
      </w:pPr>
      <w:rPr>
        <w:rFonts w:cs="Times New Roman" w:hint="default"/>
        <w:b/>
      </w:rPr>
    </w:lvl>
    <w:lvl w:ilvl="8">
      <w:start w:val="1"/>
      <w:numFmt w:val="decimal"/>
      <w:lvlText w:val="%1.%2.%3.%4.%5.%6.%7.%8.%9"/>
      <w:lvlJc w:val="left"/>
      <w:pPr>
        <w:ind w:left="4432" w:hanging="2160"/>
      </w:pPr>
      <w:rPr>
        <w:rFonts w:cs="Times New Roman" w:hint="default"/>
        <w:b/>
      </w:rPr>
    </w:lvl>
  </w:abstractNum>
  <w:abstractNum w:abstractNumId="2">
    <w:nsid w:val="0CBC2829"/>
    <w:multiLevelType w:val="hybridMultilevel"/>
    <w:tmpl w:val="E0CA6AB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EE94426"/>
    <w:multiLevelType w:val="hybridMultilevel"/>
    <w:tmpl w:val="5798B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33304"/>
    <w:multiLevelType w:val="multilevel"/>
    <w:tmpl w:val="376CA4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800" w:hanging="144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520" w:hanging="216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5">
    <w:nsid w:val="29E60963"/>
    <w:multiLevelType w:val="multilevel"/>
    <w:tmpl w:val="2CA05564"/>
    <w:lvl w:ilvl="0">
      <w:start w:val="2"/>
      <w:numFmt w:val="decimal"/>
      <w:lvlText w:val="%1"/>
      <w:lvlJc w:val="left"/>
      <w:pPr>
        <w:ind w:left="360" w:hanging="360"/>
      </w:pPr>
      <w:rPr>
        <w:rFonts w:cs="Times New Roman" w:hint="default"/>
        <w:b/>
      </w:rPr>
    </w:lvl>
    <w:lvl w:ilvl="1">
      <w:start w:val="1"/>
      <w:numFmt w:val="decimal"/>
      <w:lvlText w:val="%1.%2"/>
      <w:lvlJc w:val="left"/>
      <w:pPr>
        <w:ind w:left="1004" w:hanging="720"/>
      </w:pPr>
      <w:rPr>
        <w:rFonts w:cs="Times New Roman" w:hint="default"/>
        <w:b/>
      </w:rPr>
    </w:lvl>
    <w:lvl w:ilvl="2">
      <w:start w:val="1"/>
      <w:numFmt w:val="decimal"/>
      <w:lvlText w:val="%1.%2.%3"/>
      <w:lvlJc w:val="left"/>
      <w:pPr>
        <w:ind w:left="1288" w:hanging="720"/>
      </w:pPr>
      <w:rPr>
        <w:rFonts w:cs="Times New Roman" w:hint="default"/>
        <w:b/>
      </w:rPr>
    </w:lvl>
    <w:lvl w:ilvl="3">
      <w:start w:val="1"/>
      <w:numFmt w:val="decimal"/>
      <w:lvlText w:val="%1.%2.%3.%4"/>
      <w:lvlJc w:val="left"/>
      <w:pPr>
        <w:ind w:left="1932" w:hanging="1080"/>
      </w:pPr>
      <w:rPr>
        <w:rFonts w:cs="Times New Roman" w:hint="default"/>
        <w:b/>
      </w:rPr>
    </w:lvl>
    <w:lvl w:ilvl="4">
      <w:start w:val="1"/>
      <w:numFmt w:val="decimal"/>
      <w:lvlText w:val="%1.%2.%3.%4.%5"/>
      <w:lvlJc w:val="left"/>
      <w:pPr>
        <w:ind w:left="2576" w:hanging="1440"/>
      </w:pPr>
      <w:rPr>
        <w:rFonts w:cs="Times New Roman" w:hint="default"/>
        <w:b/>
      </w:rPr>
    </w:lvl>
    <w:lvl w:ilvl="5">
      <w:start w:val="1"/>
      <w:numFmt w:val="decimal"/>
      <w:lvlText w:val="%1.%2.%3.%4.%5.%6"/>
      <w:lvlJc w:val="left"/>
      <w:pPr>
        <w:ind w:left="2860" w:hanging="1440"/>
      </w:pPr>
      <w:rPr>
        <w:rFonts w:cs="Times New Roman" w:hint="default"/>
        <w:b/>
      </w:rPr>
    </w:lvl>
    <w:lvl w:ilvl="6">
      <w:start w:val="1"/>
      <w:numFmt w:val="decimal"/>
      <w:lvlText w:val="%1.%2.%3.%4.%5.%6.%7"/>
      <w:lvlJc w:val="left"/>
      <w:pPr>
        <w:ind w:left="3504" w:hanging="1800"/>
      </w:pPr>
      <w:rPr>
        <w:rFonts w:cs="Times New Roman" w:hint="default"/>
        <w:b/>
      </w:rPr>
    </w:lvl>
    <w:lvl w:ilvl="7">
      <w:start w:val="1"/>
      <w:numFmt w:val="decimal"/>
      <w:lvlText w:val="%1.%2.%3.%4.%5.%6.%7.%8"/>
      <w:lvlJc w:val="left"/>
      <w:pPr>
        <w:ind w:left="4148" w:hanging="2160"/>
      </w:pPr>
      <w:rPr>
        <w:rFonts w:cs="Times New Roman" w:hint="default"/>
        <w:b/>
      </w:rPr>
    </w:lvl>
    <w:lvl w:ilvl="8">
      <w:start w:val="1"/>
      <w:numFmt w:val="decimal"/>
      <w:lvlText w:val="%1.%2.%3.%4.%5.%6.%7.%8.%9"/>
      <w:lvlJc w:val="left"/>
      <w:pPr>
        <w:ind w:left="4432" w:hanging="2160"/>
      </w:pPr>
      <w:rPr>
        <w:rFonts w:cs="Times New Roman" w:hint="default"/>
        <w:b/>
      </w:rPr>
    </w:lvl>
  </w:abstractNum>
  <w:abstractNum w:abstractNumId="6">
    <w:nsid w:val="2C404A5E"/>
    <w:multiLevelType w:val="multilevel"/>
    <w:tmpl w:val="376CA4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800" w:hanging="144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520" w:hanging="216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7">
    <w:nsid w:val="2DD62BA5"/>
    <w:multiLevelType w:val="hybridMultilevel"/>
    <w:tmpl w:val="1F9C2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9C0A27"/>
    <w:multiLevelType w:val="hybridMultilevel"/>
    <w:tmpl w:val="40CAD5A8"/>
    <w:lvl w:ilvl="0" w:tplc="B0E0201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A63B3F"/>
    <w:multiLevelType w:val="hybridMultilevel"/>
    <w:tmpl w:val="2B723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E5291"/>
    <w:multiLevelType w:val="multilevel"/>
    <w:tmpl w:val="8676C46C"/>
    <w:lvl w:ilvl="0">
      <w:start w:val="1"/>
      <w:numFmt w:val="decimal"/>
      <w:lvlText w:val="%1."/>
      <w:lvlJc w:val="left"/>
      <w:pPr>
        <w:ind w:left="502" w:hanging="360"/>
      </w:pPr>
      <w:rPr>
        <w:rFonts w:cs="Times New Roman" w:hint="default"/>
        <w:b w:val="0"/>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800" w:hanging="144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520" w:hanging="216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11">
    <w:nsid w:val="48FA5292"/>
    <w:multiLevelType w:val="hybridMultilevel"/>
    <w:tmpl w:val="CCA6BBE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928351D"/>
    <w:multiLevelType w:val="hybridMultilevel"/>
    <w:tmpl w:val="BB80D1C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A654ECB"/>
    <w:multiLevelType w:val="multilevel"/>
    <w:tmpl w:val="2CA05564"/>
    <w:lvl w:ilvl="0">
      <w:start w:val="2"/>
      <w:numFmt w:val="decimal"/>
      <w:lvlText w:val="%1"/>
      <w:lvlJc w:val="left"/>
      <w:pPr>
        <w:ind w:left="360" w:hanging="360"/>
      </w:pPr>
      <w:rPr>
        <w:rFonts w:cs="Times New Roman" w:hint="default"/>
        <w:b/>
      </w:rPr>
    </w:lvl>
    <w:lvl w:ilvl="1">
      <w:start w:val="1"/>
      <w:numFmt w:val="decimal"/>
      <w:lvlText w:val="%1.%2"/>
      <w:lvlJc w:val="left"/>
      <w:pPr>
        <w:ind w:left="1004" w:hanging="720"/>
      </w:pPr>
      <w:rPr>
        <w:rFonts w:cs="Times New Roman" w:hint="default"/>
        <w:b/>
      </w:rPr>
    </w:lvl>
    <w:lvl w:ilvl="2">
      <w:start w:val="1"/>
      <w:numFmt w:val="decimal"/>
      <w:lvlText w:val="%1.%2.%3"/>
      <w:lvlJc w:val="left"/>
      <w:pPr>
        <w:ind w:left="1288" w:hanging="720"/>
      </w:pPr>
      <w:rPr>
        <w:rFonts w:cs="Times New Roman" w:hint="default"/>
        <w:b/>
      </w:rPr>
    </w:lvl>
    <w:lvl w:ilvl="3">
      <w:start w:val="1"/>
      <w:numFmt w:val="decimal"/>
      <w:lvlText w:val="%1.%2.%3.%4"/>
      <w:lvlJc w:val="left"/>
      <w:pPr>
        <w:ind w:left="1932" w:hanging="1080"/>
      </w:pPr>
      <w:rPr>
        <w:rFonts w:cs="Times New Roman" w:hint="default"/>
        <w:b/>
      </w:rPr>
    </w:lvl>
    <w:lvl w:ilvl="4">
      <w:start w:val="1"/>
      <w:numFmt w:val="decimal"/>
      <w:lvlText w:val="%1.%2.%3.%4.%5"/>
      <w:lvlJc w:val="left"/>
      <w:pPr>
        <w:ind w:left="2576" w:hanging="1440"/>
      </w:pPr>
      <w:rPr>
        <w:rFonts w:cs="Times New Roman" w:hint="default"/>
        <w:b/>
      </w:rPr>
    </w:lvl>
    <w:lvl w:ilvl="5">
      <w:start w:val="1"/>
      <w:numFmt w:val="decimal"/>
      <w:lvlText w:val="%1.%2.%3.%4.%5.%6"/>
      <w:lvlJc w:val="left"/>
      <w:pPr>
        <w:ind w:left="2860" w:hanging="1440"/>
      </w:pPr>
      <w:rPr>
        <w:rFonts w:cs="Times New Roman" w:hint="default"/>
        <w:b/>
      </w:rPr>
    </w:lvl>
    <w:lvl w:ilvl="6">
      <w:start w:val="1"/>
      <w:numFmt w:val="decimal"/>
      <w:lvlText w:val="%1.%2.%3.%4.%5.%6.%7"/>
      <w:lvlJc w:val="left"/>
      <w:pPr>
        <w:ind w:left="3504" w:hanging="1800"/>
      </w:pPr>
      <w:rPr>
        <w:rFonts w:cs="Times New Roman" w:hint="default"/>
        <w:b/>
      </w:rPr>
    </w:lvl>
    <w:lvl w:ilvl="7">
      <w:start w:val="1"/>
      <w:numFmt w:val="decimal"/>
      <w:lvlText w:val="%1.%2.%3.%4.%5.%6.%7.%8"/>
      <w:lvlJc w:val="left"/>
      <w:pPr>
        <w:ind w:left="4148" w:hanging="2160"/>
      </w:pPr>
      <w:rPr>
        <w:rFonts w:cs="Times New Roman" w:hint="default"/>
        <w:b/>
      </w:rPr>
    </w:lvl>
    <w:lvl w:ilvl="8">
      <w:start w:val="1"/>
      <w:numFmt w:val="decimal"/>
      <w:lvlText w:val="%1.%2.%3.%4.%5.%6.%7.%8.%9"/>
      <w:lvlJc w:val="left"/>
      <w:pPr>
        <w:ind w:left="4432" w:hanging="2160"/>
      </w:pPr>
      <w:rPr>
        <w:rFonts w:cs="Times New Roman" w:hint="default"/>
        <w:b/>
      </w:rPr>
    </w:lvl>
  </w:abstractNum>
  <w:abstractNum w:abstractNumId="14">
    <w:nsid w:val="4FBD4B61"/>
    <w:multiLevelType w:val="hybridMultilevel"/>
    <w:tmpl w:val="F92A6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6B440C"/>
    <w:multiLevelType w:val="singleLevel"/>
    <w:tmpl w:val="B922DED2"/>
    <w:lvl w:ilvl="0">
      <w:start w:val="1"/>
      <w:numFmt w:val="bullet"/>
      <w:lvlText w:val=""/>
      <w:lvlJc w:val="left"/>
      <w:pPr>
        <w:tabs>
          <w:tab w:val="num" w:pos="340"/>
        </w:tabs>
        <w:ind w:left="340" w:hanging="340"/>
      </w:pPr>
      <w:rPr>
        <w:rFonts w:ascii="Symbol" w:hAnsi="Symbol" w:hint="default"/>
        <w:color w:val="auto"/>
        <w:sz w:val="22"/>
      </w:rPr>
    </w:lvl>
  </w:abstractNum>
  <w:abstractNum w:abstractNumId="16">
    <w:nsid w:val="543673F4"/>
    <w:multiLevelType w:val="hybridMultilevel"/>
    <w:tmpl w:val="5A9815C8"/>
    <w:lvl w:ilvl="0" w:tplc="5F7CA70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C5367E"/>
    <w:multiLevelType w:val="hybridMultilevel"/>
    <w:tmpl w:val="73609DB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53736DD"/>
    <w:multiLevelType w:val="hybridMultilevel"/>
    <w:tmpl w:val="FCD2B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AF2A01"/>
    <w:multiLevelType w:val="singleLevel"/>
    <w:tmpl w:val="806E5C3C"/>
    <w:lvl w:ilvl="0">
      <w:start w:val="1"/>
      <w:numFmt w:val="bullet"/>
      <w:lvlText w:val=""/>
      <w:lvlJc w:val="left"/>
      <w:pPr>
        <w:tabs>
          <w:tab w:val="num" w:pos="340"/>
        </w:tabs>
        <w:ind w:left="340" w:hanging="340"/>
      </w:pPr>
      <w:rPr>
        <w:rFonts w:ascii="Symbol" w:hAnsi="Symbol" w:hint="default"/>
        <w:color w:val="auto"/>
        <w:sz w:val="22"/>
      </w:rPr>
    </w:lvl>
  </w:abstractNum>
  <w:abstractNum w:abstractNumId="20">
    <w:nsid w:val="79587B82"/>
    <w:multiLevelType w:val="multilevel"/>
    <w:tmpl w:val="FAA077F4"/>
    <w:lvl w:ilvl="0">
      <w:start w:val="2"/>
      <w:numFmt w:val="decimal"/>
      <w:lvlText w:val="%1"/>
      <w:lvlJc w:val="left"/>
      <w:pPr>
        <w:ind w:left="360" w:hanging="360"/>
      </w:pPr>
      <w:rPr>
        <w:rFonts w:cs="Times New Roman" w:hint="default"/>
        <w:b/>
      </w:rPr>
    </w:lvl>
    <w:lvl w:ilvl="1">
      <w:start w:val="7"/>
      <w:numFmt w:val="decimal"/>
      <w:lvlText w:val="%1.%2"/>
      <w:lvlJc w:val="left"/>
      <w:pPr>
        <w:ind w:left="1004" w:hanging="720"/>
      </w:pPr>
      <w:rPr>
        <w:rFonts w:cs="Times New Roman" w:hint="default"/>
        <w:b/>
      </w:rPr>
    </w:lvl>
    <w:lvl w:ilvl="2">
      <w:start w:val="1"/>
      <w:numFmt w:val="decimal"/>
      <w:lvlText w:val="%1.%2.%3"/>
      <w:lvlJc w:val="left"/>
      <w:pPr>
        <w:ind w:left="1288" w:hanging="720"/>
      </w:pPr>
      <w:rPr>
        <w:rFonts w:cs="Times New Roman" w:hint="default"/>
        <w:b/>
      </w:rPr>
    </w:lvl>
    <w:lvl w:ilvl="3">
      <w:start w:val="1"/>
      <w:numFmt w:val="decimal"/>
      <w:lvlText w:val="%1.%2.%3.%4"/>
      <w:lvlJc w:val="left"/>
      <w:pPr>
        <w:ind w:left="1932" w:hanging="1080"/>
      </w:pPr>
      <w:rPr>
        <w:rFonts w:cs="Times New Roman" w:hint="default"/>
        <w:b/>
      </w:rPr>
    </w:lvl>
    <w:lvl w:ilvl="4">
      <w:start w:val="1"/>
      <w:numFmt w:val="decimal"/>
      <w:lvlText w:val="%1.%2.%3.%4.%5"/>
      <w:lvlJc w:val="left"/>
      <w:pPr>
        <w:ind w:left="2576" w:hanging="1440"/>
      </w:pPr>
      <w:rPr>
        <w:rFonts w:cs="Times New Roman" w:hint="default"/>
        <w:b/>
      </w:rPr>
    </w:lvl>
    <w:lvl w:ilvl="5">
      <w:start w:val="1"/>
      <w:numFmt w:val="decimal"/>
      <w:lvlText w:val="%1.%2.%3.%4.%5.%6"/>
      <w:lvlJc w:val="left"/>
      <w:pPr>
        <w:ind w:left="2860" w:hanging="1440"/>
      </w:pPr>
      <w:rPr>
        <w:rFonts w:cs="Times New Roman" w:hint="default"/>
        <w:b/>
      </w:rPr>
    </w:lvl>
    <w:lvl w:ilvl="6">
      <w:start w:val="1"/>
      <w:numFmt w:val="decimal"/>
      <w:lvlText w:val="%1.%2.%3.%4.%5.%6.%7"/>
      <w:lvlJc w:val="left"/>
      <w:pPr>
        <w:ind w:left="3504" w:hanging="1800"/>
      </w:pPr>
      <w:rPr>
        <w:rFonts w:cs="Times New Roman" w:hint="default"/>
        <w:b/>
      </w:rPr>
    </w:lvl>
    <w:lvl w:ilvl="7">
      <w:start w:val="1"/>
      <w:numFmt w:val="decimal"/>
      <w:lvlText w:val="%1.%2.%3.%4.%5.%6.%7.%8"/>
      <w:lvlJc w:val="left"/>
      <w:pPr>
        <w:ind w:left="4148" w:hanging="2160"/>
      </w:pPr>
      <w:rPr>
        <w:rFonts w:cs="Times New Roman" w:hint="default"/>
        <w:b/>
      </w:rPr>
    </w:lvl>
    <w:lvl w:ilvl="8">
      <w:start w:val="1"/>
      <w:numFmt w:val="decimal"/>
      <w:lvlText w:val="%1.%2.%3.%4.%5.%6.%7.%8.%9"/>
      <w:lvlJc w:val="left"/>
      <w:pPr>
        <w:ind w:left="4432" w:hanging="2160"/>
      </w:pPr>
      <w:rPr>
        <w:rFonts w:cs="Times New Roman" w:hint="default"/>
        <w:b/>
      </w:rPr>
    </w:lvl>
  </w:abstractNum>
  <w:abstractNum w:abstractNumId="21">
    <w:nsid w:val="79C54CD9"/>
    <w:multiLevelType w:val="multilevel"/>
    <w:tmpl w:val="376CA4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800" w:hanging="144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520" w:hanging="216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22">
    <w:nsid w:val="7F472C32"/>
    <w:multiLevelType w:val="singleLevel"/>
    <w:tmpl w:val="828A6FF2"/>
    <w:lvl w:ilvl="0">
      <w:start w:val="1"/>
      <w:numFmt w:val="bullet"/>
      <w:lvlText w:val=""/>
      <w:lvlJc w:val="left"/>
      <w:pPr>
        <w:tabs>
          <w:tab w:val="num" w:pos="340"/>
        </w:tabs>
        <w:ind w:left="340" w:hanging="340"/>
      </w:pPr>
      <w:rPr>
        <w:rFonts w:ascii="Symbol" w:hAnsi="Symbol" w:hint="default"/>
        <w:color w:val="auto"/>
        <w:sz w:val="22"/>
      </w:rPr>
    </w:lvl>
  </w:abstractNum>
  <w:num w:numId="1">
    <w:abstractNumId w:val="12"/>
  </w:num>
  <w:num w:numId="2">
    <w:abstractNumId w:val="15"/>
  </w:num>
  <w:num w:numId="3">
    <w:abstractNumId w:val="8"/>
  </w:num>
  <w:num w:numId="4">
    <w:abstractNumId w:val="2"/>
  </w:num>
  <w:num w:numId="5">
    <w:abstractNumId w:val="16"/>
  </w:num>
  <w:num w:numId="6">
    <w:abstractNumId w:val="19"/>
  </w:num>
  <w:num w:numId="7">
    <w:abstractNumId w:val="0"/>
  </w:num>
  <w:num w:numId="8">
    <w:abstractNumId w:val="9"/>
  </w:num>
  <w:num w:numId="9">
    <w:abstractNumId w:val="18"/>
  </w:num>
  <w:num w:numId="10">
    <w:abstractNumId w:val="3"/>
  </w:num>
  <w:num w:numId="11">
    <w:abstractNumId w:val="13"/>
  </w:num>
  <w:num w:numId="12">
    <w:abstractNumId w:val="17"/>
  </w:num>
  <w:num w:numId="13">
    <w:abstractNumId w:val="21"/>
  </w:num>
  <w:num w:numId="14">
    <w:abstractNumId w:val="20"/>
  </w:num>
  <w:num w:numId="15">
    <w:abstractNumId w:val="6"/>
  </w:num>
  <w:num w:numId="16">
    <w:abstractNumId w:val="11"/>
  </w:num>
  <w:num w:numId="17">
    <w:abstractNumId w:val="10"/>
  </w:num>
  <w:num w:numId="18">
    <w:abstractNumId w:val="7"/>
  </w:num>
  <w:num w:numId="19">
    <w:abstractNumId w:val="14"/>
  </w:num>
  <w:num w:numId="20">
    <w:abstractNumId w:val="4"/>
  </w:num>
  <w:num w:numId="21">
    <w:abstractNumId w:val="1"/>
  </w:num>
  <w:num w:numId="22">
    <w:abstractNumId w:val="5"/>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283"/>
  <w:characterSpacingControl w:val="doNotCompress"/>
  <w:footnotePr>
    <w:footnote w:id="-1"/>
    <w:footnote w:id="0"/>
  </w:footnotePr>
  <w:endnotePr>
    <w:endnote w:id="-1"/>
    <w:endnote w:id="0"/>
  </w:endnotePr>
  <w:compat/>
  <w:rsids>
    <w:rsidRoot w:val="00581F37"/>
    <w:rsid w:val="00012208"/>
    <w:rsid w:val="0007024C"/>
    <w:rsid w:val="00094634"/>
    <w:rsid w:val="000C1328"/>
    <w:rsid w:val="000D267B"/>
    <w:rsid w:val="001B5E50"/>
    <w:rsid w:val="001C74D7"/>
    <w:rsid w:val="00202F78"/>
    <w:rsid w:val="002353B4"/>
    <w:rsid w:val="0029236D"/>
    <w:rsid w:val="002D4E6D"/>
    <w:rsid w:val="002F6B69"/>
    <w:rsid w:val="00450F6C"/>
    <w:rsid w:val="00544D22"/>
    <w:rsid w:val="00566FBB"/>
    <w:rsid w:val="00581CE7"/>
    <w:rsid w:val="00581F37"/>
    <w:rsid w:val="005A6478"/>
    <w:rsid w:val="006317BE"/>
    <w:rsid w:val="00656A13"/>
    <w:rsid w:val="00662F4C"/>
    <w:rsid w:val="00680DA2"/>
    <w:rsid w:val="006934C2"/>
    <w:rsid w:val="0086442B"/>
    <w:rsid w:val="008B00D1"/>
    <w:rsid w:val="008E73DD"/>
    <w:rsid w:val="009141BE"/>
    <w:rsid w:val="00983000"/>
    <w:rsid w:val="009E2F82"/>
    <w:rsid w:val="00A44E74"/>
    <w:rsid w:val="00AB7912"/>
    <w:rsid w:val="00AF0D18"/>
    <w:rsid w:val="00B0680C"/>
    <w:rsid w:val="00B31813"/>
    <w:rsid w:val="00BE63C6"/>
    <w:rsid w:val="00C12E8E"/>
    <w:rsid w:val="00CA0698"/>
    <w:rsid w:val="00CE69BA"/>
    <w:rsid w:val="00D173D4"/>
    <w:rsid w:val="00D82434"/>
    <w:rsid w:val="00D84472"/>
    <w:rsid w:val="00DC0C4A"/>
    <w:rsid w:val="00DC697D"/>
    <w:rsid w:val="00DD401D"/>
    <w:rsid w:val="00E37E1D"/>
    <w:rsid w:val="00E41400"/>
    <w:rsid w:val="00FA6C24"/>
    <w:rsid w:val="00FD03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236D"/>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qFormat/>
    <w:rsid w:val="0029236D"/>
    <w:pPr>
      <w:ind w:left="720"/>
      <w:contextualSpacing/>
    </w:pPr>
  </w:style>
  <w:style w:type="paragraph" w:styleId="Intestazione">
    <w:name w:val="header"/>
    <w:basedOn w:val="Normale"/>
    <w:semiHidden/>
    <w:rsid w:val="0029236D"/>
    <w:pPr>
      <w:tabs>
        <w:tab w:val="center" w:pos="4986"/>
        <w:tab w:val="right" w:pos="9972"/>
      </w:tabs>
      <w:spacing w:after="0" w:line="240" w:lineRule="auto"/>
    </w:pPr>
  </w:style>
  <w:style w:type="character" w:customStyle="1" w:styleId="CarattereCarattere2">
    <w:name w:val="Carattere Carattere2"/>
    <w:semiHidden/>
    <w:locked/>
    <w:rsid w:val="0029236D"/>
    <w:rPr>
      <w:rFonts w:cs="Times New Roman"/>
    </w:rPr>
  </w:style>
  <w:style w:type="paragraph" w:styleId="Pidipagina">
    <w:name w:val="footer"/>
    <w:basedOn w:val="Normale"/>
    <w:semiHidden/>
    <w:rsid w:val="0029236D"/>
    <w:pPr>
      <w:tabs>
        <w:tab w:val="center" w:pos="4986"/>
        <w:tab w:val="right" w:pos="9972"/>
      </w:tabs>
      <w:spacing w:after="0" w:line="240" w:lineRule="auto"/>
    </w:pPr>
  </w:style>
  <w:style w:type="character" w:customStyle="1" w:styleId="CarattereCarattere1">
    <w:name w:val="Carattere Carattere1"/>
    <w:locked/>
    <w:rsid w:val="0029236D"/>
    <w:rPr>
      <w:rFonts w:cs="Times New Roman"/>
    </w:rPr>
  </w:style>
  <w:style w:type="paragraph" w:styleId="Testofumetto">
    <w:name w:val="Balloon Text"/>
    <w:basedOn w:val="Normale"/>
    <w:semiHidden/>
    <w:rsid w:val="0029236D"/>
    <w:pPr>
      <w:spacing w:after="0" w:line="240" w:lineRule="auto"/>
    </w:pPr>
    <w:rPr>
      <w:rFonts w:ascii="Tahoma" w:hAnsi="Tahoma" w:cs="Tahoma"/>
      <w:sz w:val="16"/>
      <w:szCs w:val="16"/>
    </w:rPr>
  </w:style>
  <w:style w:type="character" w:customStyle="1" w:styleId="CarattereCarattere">
    <w:name w:val="Carattere Carattere"/>
    <w:semiHidden/>
    <w:locked/>
    <w:rsid w:val="002923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464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4870</Words>
  <Characters>27764</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SCHEMA CAPITOLATO TECNICO PER L’AFFIDAMENTO DEL SERVIZIO DI CASSA A FAVORE DELL’ISTITUTO […]</vt:lpstr>
    </vt:vector>
  </TitlesOfParts>
  <LinksUpToDate>false</LinksUpToDate>
  <CharactersWithSpaces>32569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CAPITOLATO TECNICO PER L’AFFIDAMENTO DEL SERVIZIO DI CASSA A FAVORE DELL’ISTITUTO […]</dc:title>
  <dc:creator/>
  <cp:lastModifiedBy/>
  <cp:revision>1</cp:revision>
  <cp:lastPrinted>2013-05-15T08:19:00Z</cp:lastPrinted>
  <dcterms:created xsi:type="dcterms:W3CDTF">2015-01-17T08:52:00Z</dcterms:created>
  <dcterms:modified xsi:type="dcterms:W3CDTF">2015-02-17T11:16:00Z</dcterms:modified>
</cp:coreProperties>
</file>